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90.png" ContentType="image/png"/>
  <Override PartName="/word/media/rId495.png" ContentType="image/png"/>
  <Override PartName="/word/media/rId517.png" ContentType="image/png"/>
  <Override PartName="/word/media/rId519.png" ContentType="image/png"/>
  <Override PartName="/word/media/rId521.png" ContentType="image/png"/>
  <Override PartName="/word/media/rId533.png" ContentType="image/png"/>
  <Override PartName="/word/media/rId528.png" ContentType="image/png"/>
  <Override PartName="/word/media/rId525.png" ContentType="image/png"/>
  <Override PartName="/word/media/rId526.png" ContentType="image/png"/>
  <Override PartName="/word/media/rId520.png" ContentType="image/png"/>
  <Override PartName="/word/media/rId535.png" ContentType="image/png"/>
  <Override PartName="/word/media/rId620.png" ContentType="image/png"/>
  <Override PartName="/word/media/rId622.png" ContentType="image/png"/>
  <Override PartName="/word/media/rId670.png" ContentType="image/png"/>
  <Override PartName="/word/media/rId672.png" ContentType="image/png"/>
  <Override PartName="/word/media/rId675.png" ContentType="image/png"/>
  <Override PartName="/word/media/rId673.png" ContentType="image/png"/>
  <Override PartName="/word/media/rId677.png" ContentType="image/png"/>
  <Override PartName="/word/media/rId678.png" ContentType="image/png"/>
  <Override PartName="/word/media/rId6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48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Characterize Spatial Gene Expression Patterns: One primary goal of spatial transcriptomic analysis is to characterize gene expression patterns within a tissue or cellular context. By examining gene expression profiles at different locations within the tissue, researchers aim to identify spatially regulated gene expression patterns and understand how gene expression varies across different regions.</w:t>
      </w:r>
    </w:p>
    <w:p>
      <w:pPr>
        <w:numPr>
          <w:ilvl w:val="0"/>
          <w:numId w:val="1079"/>
        </w:numPr>
        <w:pStyle w:val="Compact"/>
      </w:pPr>
      <w:r>
        <w:rPr>
          <w:bCs/>
          <w:b/>
        </w:rPr>
        <w:t xml:space="preserve">Identify Cell Types and Subpopulations:</w:t>
      </w:r>
      <w:r>
        <w:t xml:space="preserve"> </w:t>
      </w:r>
      <w:r>
        <w:t xml:space="preserve">Spatial transcriptomic analysis helps in the identification and characterization of different cell types and subpopulations within a tissue sample. By examining the gene expression profiles at a spatial resolution, researchers can differentiate and define distinct cell types based on their unique transcriptional signatures. This information contributes to the understanding of cellular heterogeneity and cellular composition within the tissue.</w:t>
      </w:r>
    </w:p>
    <w:p>
      <w:pPr>
        <w:numPr>
          <w:ilvl w:val="0"/>
          <w:numId w:val="1079"/>
        </w:numPr>
        <w:pStyle w:val="Compact"/>
      </w:pPr>
      <w:r>
        <w:rPr>
          <w:bCs/>
          <w:b/>
        </w:rPr>
        <w:t xml:space="preserve">Uncover Spatially Regulated Biological Processes:</w:t>
      </w:r>
      <w:r>
        <w:t xml:space="preserve"> </w:t>
      </w:r>
      <w:r>
        <w:t xml:space="preserve">Another goal of spatial transcriptomic analysis is to uncover spatially regulated biological processes. By examining gene expression patterns within the tissue context, researchers can identify spatially restricted expression of genes involved in specific biological processes, such as tissue gradients, morphogenesis, cell differentiation, or signaling pathways. This knowledge aids in understanding how spatial organization influences cellular behavior and tissue function.</w:t>
      </w:r>
    </w:p>
    <w:p>
      <w:pPr>
        <w:numPr>
          <w:ilvl w:val="0"/>
          <w:numId w:val="1079"/>
        </w:numPr>
        <w:pStyle w:val="Compact"/>
      </w:pPr>
      <w:r>
        <w:rPr>
          <w:bCs/>
          <w:b/>
        </w:rPr>
        <w:t xml:space="preserve">Investigate Cell-Cell Interactions and Signaling Networks:</w:t>
      </w:r>
      <w:r>
        <w:t xml:space="preserve"> </w:t>
      </w:r>
      <w:r>
        <w:t xml:space="preserve">Spatial transcriptomic analysis enables the investigation of cell-cell interactions and signaling networks within a tissue. By examining the gene expression profiles of neighboring cells, researchers can identify genes that are specifically expressed in close proximity, indicating potential cell-cell interactions and communication. This information helps in deciphering cellular communication networks and understanding the functional relationships between cells.</w:t>
      </w:r>
    </w:p>
    <w:p>
      <w:pPr>
        <w:numPr>
          <w:ilvl w:val="0"/>
          <w:numId w:val="1079"/>
        </w:numPr>
        <w:pStyle w:val="Compact"/>
      </w:pPr>
      <w:r>
        <w:rPr>
          <w:bCs/>
          <w:b/>
        </w:rPr>
        <w:t xml:space="preserve">Integrate Spatial Transcriptomics with Anatomical or Imaging Data:</w:t>
      </w:r>
      <w:r>
        <w:t xml:space="preserve"> </w:t>
      </w:r>
      <w:r>
        <w:t xml:space="preserve">Spatial transcriptomic analysis aims to integrate gene expression data with anatomical or imaging data, such as histological images or imaging modalities like fluorescence microscopy. By overlaying gene expression information onto the tissue architecture, researchers can correlate gene expression patterns with tissue morphology, cellular structures, or specific anatomical regions. This integration enhances the interpretation of spatial transcriptomic data and provides a more comprehensive understanding of gene expression within the tissue.</w:t>
      </w:r>
    </w:p>
    <w:p>
      <w:pPr>
        <w:numPr>
          <w:ilvl w:val="0"/>
          <w:numId w:val="1079"/>
        </w:numPr>
        <w:pStyle w:val="Compact"/>
      </w:pPr>
      <w:r>
        <w:rPr>
          <w:bCs/>
          <w:b/>
        </w:rPr>
        <w:t xml:space="preserve">Generate Hypotheses and Identify Biomarkers:</w:t>
      </w:r>
      <w:r>
        <w:t xml:space="preserve"> </w:t>
      </w:r>
      <w:r>
        <w:t xml:space="preserve">Spatial transcriptomic analysis can generate hypotheses and identify potential biomarkers associated with specific tissue functions or disease states. By examining gene expression patterns in the spatial context, researchers can discover spatially restricted gene signatures and potential diagnostic or prognostic markers. This knowledge has implications for disease research, precision medicine, and therapeutic targeting.</w:t>
      </w:r>
    </w:p>
    <w:bookmarkEnd w:id="475"/>
    <w:bookmarkStart w:id="476" w:name="X3d4d8e3b9fe05699d8d4774c90c53add853df59"/>
    <w:p>
      <w:pPr>
        <w:pStyle w:val="Heading2"/>
      </w:pPr>
      <w:r>
        <w:rPr>
          <w:rStyle w:val="SectionNumber"/>
        </w:rPr>
        <w:t xml:space="preserve">14.3</w:t>
      </w:r>
      <w:r>
        <w:tab/>
      </w:r>
      <w:r>
        <w:t xml:space="preserve">Spatial transcriptomic general workflow overview</w:t>
      </w:r>
    </w:p>
    <w:p>
      <w:pPr>
        <w:pStyle w:val="FirstParagraph"/>
      </w:pPr>
      <w:r>
        <w:t xml:space="preserve">Here are the basic steps involved in collecting spatial transcriptomic data:</w:t>
      </w:r>
    </w:p>
    <w:p>
      <w:pPr>
        <w:numPr>
          <w:ilvl w:val="0"/>
          <w:numId w:val="1080"/>
        </w:numPr>
      </w:pPr>
      <w:r>
        <w:rPr>
          <w:bCs/>
          <w:b/>
        </w:rPr>
        <w:t xml:space="preserve">Sample Preparation:</w:t>
      </w:r>
      <w:r>
        <w:t xml:space="preserve"> </w:t>
      </w:r>
      <w:r>
        <w:t xml:space="preserve">The first step is to prepare the tissue sample for spatial transcriptomic analysis. This involves obtaining the tissue of interest, which could be a section from a biopsy, a thin slice from a tissue block, or a whole-mount tissue. The sample should be properly preserved and stabilized to maintain the integrity of RNA molecules.</w:t>
      </w:r>
    </w:p>
    <w:p>
      <w:pPr>
        <w:numPr>
          <w:ilvl w:val="0"/>
          <w:numId w:val="1080"/>
        </w:numPr>
      </w:pPr>
      <w:r>
        <w:rPr>
          <w:bCs/>
          <w:b/>
        </w:rPr>
        <w:t xml:space="preserve">Spatially Resolved Capture of RNA Molecules:</w:t>
      </w:r>
      <w:r>
        <w:t xml:space="preserve"> </w:t>
      </w:r>
      <w:r>
        <w:t xml:space="preserve">In this step, the tissue sample is typically placed on a solid substrate, such as a glass slide or a microarray chip. One common approach is to use spatially barcoded arrays or grids, where each region corresponds to a specific spatial location. Alternatively, techniques like in situ sequencing or imaging-based methods can be used. These approaches allow the capture of RNA molecules while retaining spatial information.</w:t>
      </w:r>
    </w:p>
    <w:p>
      <w:pPr>
        <w:numPr>
          <w:ilvl w:val="0"/>
          <w:numId w:val="1080"/>
        </w:numPr>
      </w:pPr>
      <w:r>
        <w:rPr>
          <w:bCs/>
          <w:b/>
        </w:rPr>
        <w:t xml:space="preserve">RNA Extraction and Amplification:</w:t>
      </w:r>
      <w:r>
        <w:t xml:space="preserve"> </w:t>
      </w:r>
      <w:r>
        <w:t xml:space="preserve">After spatial capture, the captured RNA molecules need to be extracted and amplified to generate sufficient material for downstream analysis. This step involves lysing the cells, extracting the RNA, and performing reverse transcription to convert RNA into complementary DNA (cDNA). Amplification methods such as PCR or in vitro transcription (IVT) are employed to generate amplified cDNA libraries.</w:t>
      </w:r>
    </w:p>
    <w:p>
      <w:pPr>
        <w:numPr>
          <w:ilvl w:val="0"/>
          <w:numId w:val="1080"/>
        </w:numPr>
      </w:pPr>
      <w:r>
        <w:rPr>
          <w:bCs/>
          <w:b/>
        </w:rPr>
        <w:t xml:space="preserve">Library Preparation:</w:t>
      </w:r>
      <w:r>
        <w:t xml:space="preserve"> </w:t>
      </w:r>
      <w:r>
        <w:t xml:space="preserve">The amplified cDNA libraries are then prepared for sequencing. This involves adding specific sequencing adapters and barcodes to each library, which enable sample multiplexing and identification during sequencing.</w:t>
      </w:r>
    </w:p>
    <w:p>
      <w:pPr>
        <w:numPr>
          <w:ilvl w:val="0"/>
          <w:numId w:val="1080"/>
        </w:numPr>
      </w:pPr>
      <w:r>
        <w:rPr>
          <w:bCs/>
          <w:b/>
        </w:rPr>
        <w:t xml:space="preserve">Sequencing:</w:t>
      </w:r>
      <w:r>
        <w:t xml:space="preserve"> </w:t>
      </w:r>
      <w:r>
        <w:t xml:space="preserve">The prepared libraries are subjected to high-throughput sequencing using platforms like Illumina or Ion Torrent. The choice of sequencing platform depends on the desired read length, throughput, and cost considerations.</w:t>
      </w:r>
    </w:p>
    <w:p>
      <w:pPr>
        <w:numPr>
          <w:ilvl w:val="0"/>
          <w:numId w:val="1080"/>
        </w:numPr>
      </w:pPr>
      <w:r>
        <w:rPr>
          <w:bCs/>
          <w:b/>
        </w:rPr>
        <w:t xml:space="preserve">Data Analysis:</w:t>
      </w:r>
      <w:r>
        <w:t xml:space="preserve"> </w:t>
      </w:r>
      <w:r>
        <w:t xml:space="preserve">After sequencing, the generated data undergoes bioinformatics analysis. This typically includes preprocessing steps such as read alignment or mapping to a reference genome, removing duplicate reads, and quantifying gene expression levels. The spatial coordinates associated with each read are also considered for spatial analysis, which involves assigning gene expression profiles to specific locations within the tissue.</w:t>
      </w:r>
    </w:p>
    <w:p>
      <w:pPr>
        <w:numPr>
          <w:ilvl w:val="0"/>
          <w:numId w:val="1080"/>
        </w:numPr>
      </w:pPr>
      <w:r>
        <w:rPr>
          <w:bCs/>
          <w:b/>
        </w:rPr>
        <w:t xml:space="preserve">Visualization and Interpretation:</w:t>
      </w:r>
      <w:r>
        <w:t xml:space="preserve"> </w:t>
      </w:r>
      <w:r>
        <w:t xml:space="preserve">The final step involves visualizing and interpreting the spatial transcriptomic data. Various tools and algorithms are available for spatial visualization, such as generating heatmaps, spatial expression plots, or clustering analysis. The data can be integrated with anatomical or imaging data to gain further insights into cellular organization and interactions within the tissue.</w:t>
      </w:r>
    </w:p>
    <w:bookmarkEnd w:id="476"/>
    <w:bookmarkStart w:id="477"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Spatial Information:</w:t>
      </w:r>
      <w:r>
        <w:t xml:space="preserve"> </w:t>
      </w:r>
      <w:r>
        <w:t xml:space="preserve">Spatial transcriptomics allows the investigation of gene expression patterns within the context of tissue or cellular spatial organization. By preserving the spatial information of RNA molecules, it provides insights into how gene expression varies across different regions within a tissue sample.</w:t>
      </w:r>
    </w:p>
    <w:p>
      <w:pPr>
        <w:numPr>
          <w:ilvl w:val="0"/>
          <w:numId w:val="1081"/>
        </w:numPr>
        <w:pStyle w:val="Compact"/>
      </w:pPr>
      <w:r>
        <w:rPr>
          <w:bCs/>
          <w:b/>
        </w:rPr>
        <w:t xml:space="preserve">Identification of Cell Types and Subpopulations:</w:t>
      </w:r>
      <w:r>
        <w:t xml:space="preserve"> </w:t>
      </w:r>
      <w:r>
        <w:t xml:space="preserve">Spatial transcriptomics enables the identification and characterization of different cell types and subpopulations within a tissue sample based on their unique gene expression profiles. This information helps in understanding cellular heterogeneity and cell-cell interactions within the tissue.</w:t>
      </w:r>
    </w:p>
    <w:p>
      <w:pPr>
        <w:numPr>
          <w:ilvl w:val="0"/>
          <w:numId w:val="1081"/>
        </w:numPr>
        <w:pStyle w:val="Compact"/>
      </w:pPr>
      <w:r>
        <w:rPr>
          <w:bCs/>
          <w:b/>
        </w:rPr>
        <w:t xml:space="preserve">Visualization of Gene Expression Patterns:</w:t>
      </w:r>
      <w:r>
        <w:t xml:space="preserve"> </w:t>
      </w:r>
      <w:r>
        <w:t xml:space="preserve">By generating spatially resolved gene expression data, spatial transcriptomics allows for the visualization of gene expression patterns across the tissue sample. This visualization can be in the form of heatmaps, spatial expression plots, or spatially resolved gene expression atlases, providing a comprehensive view of gene expression within the tissue.</w:t>
      </w:r>
    </w:p>
    <w:p>
      <w:pPr>
        <w:numPr>
          <w:ilvl w:val="0"/>
          <w:numId w:val="1081"/>
        </w:numPr>
        <w:pStyle w:val="Compact"/>
      </w:pPr>
      <w:r>
        <w:rPr>
          <w:bCs/>
          <w:b/>
        </w:rPr>
        <w:t xml:space="preserve">Integration with Anatomical and Imaging Data:</w:t>
      </w:r>
      <w:r>
        <w:t xml:space="preserve"> </w:t>
      </w:r>
      <w:r>
        <w:t xml:space="preserve">Spatial transcriptomics data can be integrated with anatomical or imaging data, such as histological images or imaging modalities like fluorescence microscopy. This integration enhances the interpretation of spatial transcriptomic data by correlating gene expression patterns with tissue morphology or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spatial transcriptomics can uncover novel cell-cell interactions and signaling pathways within a tissue. It allows the identification of genes that are specifically expressed in close proximity to each other, revealing potential regulatory relationships and functional interactions between cells.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spatially regulated biological processes, such as tissue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generate hypotheses and identify potential biomarkers related to specific tissue functions or disease states. By linking gene expression patterns to tissue organization and pathology, spatial transcriptomics facilitates the discovery of spatially restricted gene signatures and potential diagnostic or prognostic markers.</w:t>
      </w:r>
    </w:p>
    <w:bookmarkEnd w:id="477"/>
    <w:bookmarkStart w:id="484"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Limited Spatial Resolution:</w:t>
      </w:r>
      <w:r>
        <w:t xml:space="preserve"> </w:t>
      </w:r>
      <w:r>
        <w:t xml:space="preserve">Spatial transcriptomic techniques have a finite spatial resolution, which determines the level of detail at which gene expression patterns can be analyzed. The resolution is influenced by factors such as the size of capture spots or the resolution of imaging techniques.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 techniques, and sequencing.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Limited Coverage of Transcripts:</w:t>
      </w:r>
      <w:r>
        <w:t xml:space="preserve"> </w:t>
      </w:r>
      <w:r>
        <w:t xml:space="preserve">Spatial transcriptomic methods often have limited coverage of the entire transcriptome. The capture techniques used may bias the representation of certain RNA molecules or favor highly expressed transcripts, potentially leading to a biased view of gene expression. Additionally, spatial transcriptomic methods may have limitations in capturing non-polyadenylated RNAs or low-abundance transcripts.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Data analysis involves multiple steps, including image processing, spatial registration, normalization, and interpretation.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experiments or techniques.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p>
      <w:pPr>
        <w:numPr>
          <w:ilvl w:val="0"/>
          <w:numId w:val="1082"/>
        </w:numPr>
        <w:pStyle w:val="Compact"/>
      </w:pPr>
      <w:r>
        <w:rPr>
          <w:bCs/>
          <w:b/>
        </w:rPr>
        <w:t xml:space="preserve">Limited Accessibility of Techniques:</w:t>
      </w:r>
      <w:r>
        <w:t xml:space="preserve"> </w:t>
      </w:r>
      <w:r>
        <w:t xml:space="preserve">Some spatial transcriptomic techniques may have limited availability, accessibility, or may require specialized equipment or expertise. This can restrict their widespread use and accessibility to researchers who do not have access to the necessary resources or infrastructure.</w:t>
      </w:r>
    </w:p>
    <w:bookmarkStart w:id="483" w:name="tools-for-spatial-transcriptomics"/>
    <w:p>
      <w:pPr>
        <w:pStyle w:val="Heading3"/>
      </w:pPr>
      <w:r>
        <w:rPr>
          <w:rStyle w:val="SectionNumber"/>
        </w:rPr>
        <w:t xml:space="preserve">14.5.1</w:t>
      </w:r>
      <w:r>
        <w:tab/>
      </w:r>
      <w:r>
        <w:t xml:space="preserve">Tools for spatial transcriptomics</w:t>
      </w:r>
    </w:p>
    <w:bookmarkStart w:id="478" w:name="seurat"/>
    <w:p>
      <w:pPr>
        <w:pStyle w:val="Heading4"/>
      </w:pPr>
      <w:r>
        <w:rPr>
          <w:rStyle w:val="SectionNumber"/>
        </w:rPr>
        <w:t xml:space="preserve">14.5.1.1</w:t>
      </w:r>
      <w:r>
        <w:tab/>
      </w:r>
      <w:r>
        <w:t xml:space="preserve">Seurat:</w:t>
      </w:r>
    </w:p>
    <w:p>
      <w:pPr>
        <w:numPr>
          <w:ilvl w:val="0"/>
          <w:numId w:val="1083"/>
        </w:numPr>
        <w:pStyle w:val="Compact"/>
      </w:pPr>
      <w:r>
        <w:rPr>
          <w:bCs/>
          <w:b/>
        </w:rPr>
        <w:t xml:space="preserve">Pros:</w:t>
      </w:r>
      <w:r>
        <w:t xml:space="preserve"> </w:t>
      </w:r>
      <w:r>
        <w:t xml:space="preserve">Seurat is a widely used R package that offers a comprehensive suite of tools for spatial transcriptomic analysis. It provides a variety of functions for data preprocessing, dimensionality reduction, clustering, and visualization. Seurat has a large user community, extensive documentation, and tutorials, making it accessible to researchers.</w:t>
      </w:r>
    </w:p>
    <w:p>
      <w:pPr>
        <w:numPr>
          <w:ilvl w:val="0"/>
          <w:numId w:val="1083"/>
        </w:numPr>
        <w:pStyle w:val="Compact"/>
      </w:pPr>
      <w:r>
        <w:rPr>
          <w:bCs/>
          <w:b/>
        </w:rPr>
        <w:t xml:space="preserve">Cons:</w:t>
      </w:r>
      <w:r>
        <w:t xml:space="preserve"> </w:t>
      </w:r>
      <w:r>
        <w:t xml:space="preserve">Seurat can be memory-intensive, particularly when working with large datasets. It may require familiarity with R programming and bioinformatics concepts for effective use. Additionally, Seurat’s performance can depend on the specific computational resources available.</w:t>
      </w:r>
    </w:p>
    <w:bookmarkEnd w:id="478"/>
    <w:bookmarkStart w:id="479" w:name="scanpy"/>
    <w:p>
      <w:pPr>
        <w:pStyle w:val="Heading4"/>
      </w:pPr>
      <w:r>
        <w:rPr>
          <w:rStyle w:val="SectionNumber"/>
        </w:rPr>
        <w:t xml:space="preserve">14.5.1.2</w:t>
      </w:r>
      <w:r>
        <w:tab/>
      </w:r>
      <w:r>
        <w:t xml:space="preserve">Scanpy:</w:t>
      </w:r>
    </w:p>
    <w:p>
      <w:pPr>
        <w:numPr>
          <w:ilvl w:val="0"/>
          <w:numId w:val="1084"/>
        </w:numPr>
        <w:pStyle w:val="Compact"/>
      </w:pPr>
      <w:r>
        <w:rPr>
          <w:bCs/>
          <w:b/>
        </w:rPr>
        <w:t xml:space="preserve">Pros:</w:t>
      </w:r>
      <w:r>
        <w:t xml:space="preserve"> </w:t>
      </w:r>
      <w:r>
        <w:t xml:space="preserve">Scanpy is a Python-based library specifically designed for single-cell and spatial transcriptomic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w:t>
      </w:r>
    </w:p>
    <w:p>
      <w:pPr>
        <w:numPr>
          <w:ilvl w:val="0"/>
          <w:numId w:val="1084"/>
        </w:numPr>
        <w:pStyle w:val="Compact"/>
      </w:pPr>
      <w:r>
        <w:rPr>
          <w:bCs/>
          <w:b/>
        </w:rPr>
        <w:t xml:space="preserve">Cons:</w:t>
      </w:r>
      <w:r>
        <w:t xml:space="preserve"> </w:t>
      </w:r>
      <w:r>
        <w:t xml:space="preserve">Similar to Seurat, Scanpy may require some familiarity with Python programming and bioinformatics concepts. Users without prior programming experience may need to invest time in learning Python.</w:t>
      </w:r>
    </w:p>
    <w:bookmarkEnd w:id="479"/>
    <w:bookmarkStart w:id="480" w:name="spaceranger"/>
    <w:p>
      <w:pPr>
        <w:pStyle w:val="Heading4"/>
      </w:pPr>
      <w:r>
        <w:rPr>
          <w:rStyle w:val="SectionNumber"/>
        </w:rPr>
        <w:t xml:space="preserve">14.5.1.3</w:t>
      </w:r>
      <w:r>
        <w:tab/>
      </w:r>
      <w:r>
        <w:t xml:space="preserve">spaceranger:</w:t>
      </w:r>
    </w:p>
    <w:p>
      <w:pPr>
        <w:numPr>
          <w:ilvl w:val="0"/>
          <w:numId w:val="1085"/>
        </w:numPr>
        <w:pStyle w:val="Compact"/>
      </w:pPr>
      <w:r>
        <w:rPr>
          <w:bCs/>
          <w:b/>
        </w:rPr>
        <w:t xml:space="preserve">Pros:</w:t>
      </w:r>
      <w:r>
        <w:t xml:space="preserve"> </w:t>
      </w:r>
      <w:r>
        <w:t xml:space="preserve">spaceranger is a software package developed by 10x Genomics specifically for processing and analyzing spatial transcriptomic data generated by their platform. It provides a streamlined workflow for processing raw data, including image processing, spot calling, and counting transcripts. spaceranger offers integration with the Seurat R package, enabling downstream analysis using Seurat’s extensive tools.</w:t>
      </w:r>
    </w:p>
    <w:p>
      <w:pPr>
        <w:numPr>
          <w:ilvl w:val="0"/>
          <w:numId w:val="1085"/>
        </w:numPr>
        <w:pStyle w:val="Compact"/>
      </w:pPr>
      <w:r>
        <w:rPr>
          <w:bCs/>
          <w:b/>
        </w:rPr>
        <w:t xml:space="preserve">Cons:</w:t>
      </w:r>
      <w:r>
        <w:t xml:space="preserve"> </w:t>
      </w:r>
      <w:r>
        <w:t xml:space="preserve">spaceranger is optimized for 10x Genomics data and may have limited compatibility with other spatial transcriptomic platforms. It may not offer the same level of flexibility as more general-purpose tools like Seurat or Scanpy.</w:t>
      </w:r>
    </w:p>
    <w:bookmarkEnd w:id="480"/>
    <w:bookmarkStart w:id="481" w:name="st-pipeline"/>
    <w:p>
      <w:pPr>
        <w:pStyle w:val="Heading4"/>
      </w:pPr>
      <w:r>
        <w:rPr>
          <w:rStyle w:val="SectionNumber"/>
        </w:rPr>
        <w:t xml:space="preserve">14.5.1.4</w:t>
      </w:r>
      <w:r>
        <w:tab/>
      </w:r>
      <w:r>
        <w:t xml:space="preserve">ST Pipeline:</w:t>
      </w:r>
    </w:p>
    <w:p>
      <w:pPr>
        <w:numPr>
          <w:ilvl w:val="0"/>
          <w:numId w:val="1086"/>
        </w:numPr>
        <w:pStyle w:val="Compact"/>
      </w:pPr>
      <w:r>
        <w:rPr>
          <w:bCs/>
          <w:b/>
        </w:rPr>
        <w:t xml:space="preserve">Pros:</w:t>
      </w:r>
      <w:r>
        <w:t xml:space="preserve"> </w:t>
      </w:r>
      <w:r>
        <w:t xml:space="preserve">ST Pipeline is an open-source bioinformatics pipeline developed by the Spatial Transcriptomics consortium. It provides a complete workflow for spatial transcriptomic data analysis, including preprocessing, normalization, spot detection, and visualization. ST Pipeline supports various spatial transcriptomic platforms, making it versatile.</w:t>
      </w:r>
    </w:p>
    <w:p>
      <w:pPr>
        <w:numPr>
          <w:ilvl w:val="0"/>
          <w:numId w:val="1086"/>
        </w:numPr>
        <w:pStyle w:val="Compact"/>
      </w:pPr>
      <w:r>
        <w:rPr>
          <w:bCs/>
          <w:b/>
        </w:rPr>
        <w:t xml:space="preserve">Cons:</w:t>
      </w:r>
      <w:r>
        <w:t xml:space="preserve"> </w:t>
      </w:r>
      <w:r>
        <w:t xml:space="preserve">ST Pipeline may require some command-line proficiency and familiarity with Linux environments. Users may need to invest time in setting up the pipeline and configuring parameters based on their specific datasets and platforms.</w:t>
      </w:r>
    </w:p>
    <w:bookmarkEnd w:id="481"/>
    <w:bookmarkStart w:id="482" w:name="spatialde"/>
    <w:p>
      <w:pPr>
        <w:pStyle w:val="Heading4"/>
      </w:pPr>
      <w:r>
        <w:rPr>
          <w:rStyle w:val="SectionNumber"/>
        </w:rPr>
        <w:t xml:space="preserve">14.5.1.5</w:t>
      </w:r>
      <w:r>
        <w:tab/>
      </w:r>
      <w:r>
        <w:t xml:space="preserve">SpatialDE:</w:t>
      </w:r>
    </w:p>
    <w:p>
      <w:pPr>
        <w:numPr>
          <w:ilvl w:val="0"/>
          <w:numId w:val="1087"/>
        </w:numPr>
        <w:pStyle w:val="Compact"/>
      </w:pPr>
      <w:r>
        <w:rPr>
          <w:bCs/>
          <w:b/>
        </w:rPr>
        <w:t xml:space="preserve">Pros:</w:t>
      </w:r>
      <w:r>
        <w:t xml:space="preserve"> </w:t>
      </w:r>
      <w:r>
        <w:t xml:space="preserve">SpatialDE is a Python package designed for detecting spatially variable genes from spatial transcriptomic data. It offers statistical methods to identify genes that exhibit spatial heterogeneity in expression across the tissue. SpatialDE provides a straightforward implementation for identifying spatially variable genes and their spatial patterns.</w:t>
      </w:r>
    </w:p>
    <w:p>
      <w:pPr>
        <w:numPr>
          <w:ilvl w:val="0"/>
          <w:numId w:val="1087"/>
        </w:numPr>
        <w:pStyle w:val="Compact"/>
      </w:pPr>
      <w:r>
        <w:rPr>
          <w:bCs/>
          <w:b/>
        </w:rPr>
        <w:t xml:space="preserve">Cons:</w:t>
      </w:r>
      <w:r>
        <w:t xml:space="preserve"> </w:t>
      </w:r>
      <w:r>
        <w:t xml:space="preserve">SpatialDE focuses on the identification of spatially variable genes and may not provide a comprehensive set of tools for the entire spatial transcriptomic analysis pipeline. Additional tools may be required for preprocessing, visualization, and downstream analysis.</w:t>
      </w:r>
    </w:p>
    <w:bookmarkEnd w:id="482"/>
    <w:bookmarkEnd w:id="483"/>
    <w:bookmarkEnd w:id="484"/>
    <w:bookmarkStart w:id="488" w:name="Xae6958150a447029da9da94ae8d6b5b1ab3c659"/>
    <w:p>
      <w:pPr>
        <w:pStyle w:val="Heading2"/>
      </w:pPr>
      <w:r>
        <w:rPr>
          <w:rStyle w:val="SectionNumber"/>
        </w:rPr>
        <w:t xml:space="preserve">14.6</w:t>
      </w:r>
      <w:r>
        <w:tab/>
      </w:r>
      <w:r>
        <w:t xml:space="preserve">More tools and tutorials regarding spatial transcriptomics</w:t>
      </w:r>
    </w:p>
    <w:p>
      <w:pPr>
        <w:numPr>
          <w:ilvl w:val="0"/>
          <w:numId w:val="1088"/>
        </w:numPr>
        <w:pStyle w:val="Compact"/>
      </w:pPr>
      <w:hyperlink r:id="rId485">
        <w:r>
          <w:rPr>
            <w:rStyle w:val="Hyperlink"/>
          </w:rPr>
          <w:t xml:space="preserve">Analysis, visualization, and integration of spatial datasets with Seurat</w:t>
        </w:r>
      </w:hyperlink>
    </w:p>
    <w:p>
      <w:pPr>
        <w:numPr>
          <w:ilvl w:val="0"/>
          <w:numId w:val="1088"/>
        </w:numPr>
        <w:pStyle w:val="Compact"/>
      </w:pPr>
      <w:hyperlink r:id="rId486">
        <w:r>
          <w:rPr>
            <w:rStyle w:val="Hyperlink"/>
          </w:rPr>
          <w:t xml:space="preserve">Sheffield Bioinformatics tutorial for spatial transcriptomics</w:t>
        </w:r>
      </w:hyperlink>
    </w:p>
    <w:p>
      <w:pPr>
        <w:numPr>
          <w:ilvl w:val="0"/>
          <w:numId w:val="1088"/>
        </w:numPr>
        <w:pStyle w:val="Compact"/>
      </w:pPr>
      <w:hyperlink r:id="rId487">
        <w:r>
          <w:rPr>
            <w:rStyle w:val="Hyperlink"/>
          </w:rPr>
          <w:t xml:space="preserve">Theis Lab SCOG workshop materials for spatial transcriptomics</w:t>
        </w:r>
      </w:hyperlink>
    </w:p>
    <w:bookmarkEnd w:id="488"/>
    <w:bookmarkEnd w:id="489"/>
    <w:bookmarkStart w:id="51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49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bookmarkEnd w:id="491"/>
    <w:bookmarkStart w:id="49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492"/>
    <w:bookmarkStart w:id="494" w:name="X26e5d87161aa984fab18df5fc4aae9ccd371338"/>
    <w:p>
      <w:pPr>
        <w:pStyle w:val="Heading2"/>
      </w:pPr>
      <w:r>
        <w:rPr>
          <w:rStyle w:val="SectionNumber"/>
        </w:rPr>
        <w:t xml:space="preserve">15.3</w:t>
      </w:r>
      <w:r>
        <w:tab/>
      </w:r>
      <w:r>
        <w:t xml:space="preserve">What kinds of questions can chromatin answer?</w:t>
      </w:r>
    </w:p>
    <w:p>
      <w:pPr>
        <w:numPr>
          <w:ilvl w:val="0"/>
          <w:numId w:val="1089"/>
        </w:numPr>
        <w:pStyle w:val="Compact"/>
      </w:pPr>
      <w:r>
        <w:t xml:space="preserve">How are genes turned on and off in response to developmental cues or environmental stimuli?</w:t>
      </w:r>
    </w:p>
    <w:p>
      <w:pPr>
        <w:numPr>
          <w:ilvl w:val="0"/>
          <w:numId w:val="1089"/>
        </w:numPr>
        <w:pStyle w:val="Compact"/>
      </w:pPr>
      <w:r>
        <w:t xml:space="preserve">What are the mechanisms by which chromatin structure is altered during cell differentiation and development?</w:t>
      </w:r>
    </w:p>
    <w:p>
      <w:pPr>
        <w:numPr>
          <w:ilvl w:val="0"/>
          <w:numId w:val="1089"/>
        </w:numPr>
        <w:pStyle w:val="Compact"/>
      </w:pPr>
      <w:r>
        <w:t xml:space="preserve">How do epigenetic modifications, such as DNA methylation and histone modifications, affect chromatin structure and gene expression?</w:t>
      </w:r>
    </w:p>
    <w:p>
      <w:pPr>
        <w:numPr>
          <w:ilvl w:val="0"/>
          <w:numId w:val="1089"/>
        </w:numPr>
        <w:pStyle w:val="Compact"/>
      </w:pPr>
      <w:r>
        <w:t xml:space="preserve">How does chromatin structure influence the binding of transcription factors and other regulatory proteins to specific regions of the genome?</w:t>
      </w:r>
    </w:p>
    <w:p>
      <w:pPr>
        <w:numPr>
          <w:ilvl w:val="0"/>
          <w:numId w:val="1089"/>
        </w:numPr>
        <w:pStyle w:val="Compact"/>
      </w:pPr>
      <w:r>
        <w:t xml:space="preserve">How is chromatin structure altered in diseases such as cancer, and how can this knowledge be used to develop new therapies?</w:t>
      </w:r>
    </w:p>
    <w:p>
      <w:pPr>
        <w:numPr>
          <w:ilvl w:val="0"/>
          <w:numId w:val="1089"/>
        </w:numPr>
        <w:pStyle w:val="Compact"/>
      </w:pPr>
      <w:r>
        <w:t xml:space="preserve">How can we manipulate chromatin structure to selectively activate or repress specific genes, and what are the potential applications of such approaches?</w:t>
      </w:r>
    </w:p>
    <w:bookmarkStart w:id="49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09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09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09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09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09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09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493"/>
    <w:bookmarkEnd w:id="494"/>
    <w:bookmarkStart w:id="51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496" w:name="when-to-use-atac-seq"/>
    <w:p>
      <w:pPr>
        <w:pStyle w:val="Heading4"/>
      </w:pPr>
      <w:r>
        <w:rPr>
          <w:rStyle w:val="SectionNumber"/>
        </w:rPr>
        <w:t xml:space="preserve">15.4.1.1</w:t>
      </w:r>
      <w:r>
        <w:tab/>
      </w:r>
      <w:r>
        <w:t xml:space="preserve">When to use ATAC-seq:</w:t>
      </w:r>
    </w:p>
    <w:p>
      <w:pPr>
        <w:numPr>
          <w:ilvl w:val="0"/>
          <w:numId w:val="1091"/>
        </w:numPr>
        <w:pStyle w:val="Compact"/>
      </w:pPr>
      <w:r>
        <w:t xml:space="preserve">When you want to study the epigenetic regulation of gene expression.</w:t>
      </w:r>
    </w:p>
    <w:p>
      <w:pPr>
        <w:numPr>
          <w:ilvl w:val="0"/>
          <w:numId w:val="1091"/>
        </w:numPr>
        <w:pStyle w:val="Compact"/>
      </w:pPr>
      <w:r>
        <w:t xml:space="preserve">When you want to identify open chromatin regions associated with regulatory elements such as enhancers and promoters.</w:t>
      </w:r>
    </w:p>
    <w:p>
      <w:pPr>
        <w:numPr>
          <w:ilvl w:val="0"/>
          <w:numId w:val="1091"/>
        </w:numPr>
        <w:pStyle w:val="Compact"/>
      </w:pPr>
      <w:r>
        <w:t xml:space="preserve">When you want to study various cell types and tissues, including difficult-to-access cell types.</w:t>
      </w:r>
    </w:p>
    <w:bookmarkEnd w:id="496"/>
    <w:bookmarkStart w:id="497" w:name="advantages"/>
    <w:p>
      <w:pPr>
        <w:pStyle w:val="Heading4"/>
      </w:pPr>
      <w:r>
        <w:rPr>
          <w:rStyle w:val="SectionNumber"/>
        </w:rPr>
        <w:t xml:space="preserve">15.4.1.2</w:t>
      </w:r>
      <w:r>
        <w:tab/>
      </w:r>
      <w:r>
        <w:t xml:space="preserve">Advantages:</w:t>
      </w:r>
    </w:p>
    <w:p>
      <w:pPr>
        <w:numPr>
          <w:ilvl w:val="0"/>
          <w:numId w:val="1092"/>
        </w:numPr>
        <w:pStyle w:val="Compact"/>
      </w:pPr>
      <w:r>
        <w:t xml:space="preserve">ATAC-seq is a simple and cost-effective technique that requires a low amount of starting material.</w:t>
      </w:r>
    </w:p>
    <w:p>
      <w:pPr>
        <w:numPr>
          <w:ilvl w:val="0"/>
          <w:numId w:val="1092"/>
        </w:numPr>
        <w:pStyle w:val="Compact"/>
      </w:pPr>
      <w:r>
        <w:t xml:space="preserve">It allows the identification of open chromatin regions, which are usually associated with regulatory elements such as enhancers and promoters.</w:t>
      </w:r>
    </w:p>
    <w:p>
      <w:pPr>
        <w:numPr>
          <w:ilvl w:val="0"/>
          <w:numId w:val="1092"/>
        </w:numPr>
        <w:pStyle w:val="Compact"/>
      </w:pPr>
      <w:r>
        <w:t xml:space="preserve">ATAC-seq can be used to study various cell types and tissues, including difficult-to-access cell types.</w:t>
      </w:r>
    </w:p>
    <w:bookmarkEnd w:id="497"/>
    <w:bookmarkStart w:id="498" w:name="disadvantages"/>
    <w:p>
      <w:pPr>
        <w:pStyle w:val="Heading4"/>
      </w:pPr>
      <w:r>
        <w:rPr>
          <w:rStyle w:val="SectionNumber"/>
        </w:rPr>
        <w:t xml:space="preserve">15.4.1.3</w:t>
      </w:r>
      <w:r>
        <w:tab/>
      </w:r>
      <w:r>
        <w:t xml:space="preserve">Disadvantages:</w:t>
      </w:r>
    </w:p>
    <w:p>
      <w:pPr>
        <w:numPr>
          <w:ilvl w:val="0"/>
          <w:numId w:val="1093"/>
        </w:numPr>
        <w:pStyle w:val="Compact"/>
      </w:pPr>
      <w:r>
        <w:t xml:space="preserve">ATAC-seq can have high background noise due to non-specific cleavage of chromatin.</w:t>
      </w:r>
    </w:p>
    <w:p>
      <w:pPr>
        <w:numPr>
          <w:ilvl w:val="0"/>
          <w:numId w:val="1093"/>
        </w:numPr>
        <w:pStyle w:val="Compact"/>
      </w:pPr>
      <w:r>
        <w:t xml:space="preserve">It may miss lowly accessible regions due to a bias towards highly accessible regions.</w:t>
      </w:r>
    </w:p>
    <w:p>
      <w:pPr>
        <w:numPr>
          <w:ilvl w:val="0"/>
          <w:numId w:val="1093"/>
        </w:numPr>
        <w:pStyle w:val="Compact"/>
      </w:pPr>
      <w:r>
        <w:t xml:space="preserve">It is difficult to identify the specific regulatory elements that are associated with open chromatin regions.</w:t>
      </w:r>
    </w:p>
    <w:bookmarkEnd w:id="498"/>
    <w:bookmarkEnd w:id="499"/>
    <w:bookmarkStart w:id="50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00" w:name="when-to-use-single-cell-atac-seq"/>
    <w:p>
      <w:pPr>
        <w:pStyle w:val="Heading4"/>
      </w:pPr>
      <w:r>
        <w:rPr>
          <w:rStyle w:val="SectionNumber"/>
        </w:rPr>
        <w:t xml:space="preserve">15.4.2.1</w:t>
      </w:r>
      <w:r>
        <w:tab/>
      </w:r>
      <w:r>
        <w:t xml:space="preserve">When to use single-cell ATAC-seq:</w:t>
      </w:r>
    </w:p>
    <w:p>
      <w:pPr>
        <w:numPr>
          <w:ilvl w:val="0"/>
          <w:numId w:val="1094"/>
        </w:numPr>
        <w:pStyle w:val="Compact"/>
      </w:pPr>
      <w:r>
        <w:t xml:space="preserve">When you want to study the epigenetic heterogeneity between cells and identify cell-specific regulatory elements.</w:t>
      </w:r>
    </w:p>
    <w:p>
      <w:pPr>
        <w:numPr>
          <w:ilvl w:val="0"/>
          <w:numId w:val="1094"/>
        </w:numPr>
        <w:pStyle w:val="Compact"/>
      </w:pPr>
      <w:r>
        <w:t xml:space="preserve">When you want to identify rare cell types or rare cell states that may be missed by bulk techniques.</w:t>
      </w:r>
    </w:p>
    <w:p>
      <w:pPr>
        <w:numPr>
          <w:ilvl w:val="0"/>
          <w:numId w:val="1094"/>
        </w:numPr>
        <w:pStyle w:val="Compact"/>
      </w:pPr>
      <w:r>
        <w:t xml:space="preserve">When you want to study the epigenetic dynamics of cells in response to environmental changes.</w:t>
      </w:r>
    </w:p>
    <w:bookmarkEnd w:id="500"/>
    <w:bookmarkStart w:id="501" w:name="advantages-1"/>
    <w:p>
      <w:pPr>
        <w:pStyle w:val="Heading4"/>
      </w:pPr>
      <w:r>
        <w:rPr>
          <w:rStyle w:val="SectionNumber"/>
        </w:rPr>
        <w:t xml:space="preserve">15.4.2.2</w:t>
      </w:r>
      <w:r>
        <w:tab/>
      </w:r>
      <w:r>
        <w:t xml:space="preserve">Advantages:</w:t>
      </w:r>
    </w:p>
    <w:p>
      <w:pPr>
        <w:numPr>
          <w:ilvl w:val="0"/>
          <w:numId w:val="1095"/>
        </w:numPr>
        <w:pStyle w:val="Compact"/>
      </w:pPr>
      <w:r>
        <w:t xml:space="preserve">Single-cell ATAC-seq allows the identification of open chromatin regions in individual cells, which provides cell-specific epigenetic information.</w:t>
      </w:r>
    </w:p>
    <w:p>
      <w:pPr>
        <w:numPr>
          <w:ilvl w:val="0"/>
          <w:numId w:val="1095"/>
        </w:numPr>
        <w:pStyle w:val="Compact"/>
      </w:pPr>
      <w:r>
        <w:t xml:space="preserve">It can identify rare cell types and rare cell states that may be missed by bulk techniques.</w:t>
      </w:r>
    </w:p>
    <w:p>
      <w:pPr>
        <w:numPr>
          <w:ilvl w:val="0"/>
          <w:numId w:val="1095"/>
        </w:numPr>
        <w:pStyle w:val="Compact"/>
      </w:pPr>
      <w:r>
        <w:t xml:space="preserve">It can be used to study the epigenetic dynamics of cells in response to environmental changes.</w:t>
      </w:r>
    </w:p>
    <w:bookmarkEnd w:id="501"/>
    <w:bookmarkStart w:id="502" w:name="disadvantages-1"/>
    <w:p>
      <w:pPr>
        <w:pStyle w:val="Heading4"/>
      </w:pPr>
      <w:r>
        <w:rPr>
          <w:rStyle w:val="SectionNumber"/>
        </w:rPr>
        <w:t xml:space="preserve">15.4.2.3</w:t>
      </w:r>
      <w:r>
        <w:tab/>
      </w:r>
      <w:r>
        <w:t xml:space="preserve">Disadvantages:</w:t>
      </w:r>
    </w:p>
    <w:p>
      <w:pPr>
        <w:numPr>
          <w:ilvl w:val="0"/>
          <w:numId w:val="1096"/>
        </w:numPr>
        <w:pStyle w:val="Compact"/>
      </w:pPr>
      <w:r>
        <w:t xml:space="preserve">Single-cell ATAC-seq can have a higher level of technical noise due to the low amount of starting material.</w:t>
      </w:r>
    </w:p>
    <w:p>
      <w:pPr>
        <w:numPr>
          <w:ilvl w:val="0"/>
          <w:numId w:val="1096"/>
        </w:numPr>
        <w:pStyle w:val="Compact"/>
      </w:pPr>
      <w:r>
        <w:t xml:space="preserve">It can be challenging to obtain high-quality single-cell suspensions from tissues.</w:t>
      </w:r>
    </w:p>
    <w:p>
      <w:pPr>
        <w:numPr>
          <w:ilvl w:val="0"/>
          <w:numId w:val="1096"/>
        </w:numPr>
        <w:pStyle w:val="Compact"/>
      </w:pPr>
      <w:r>
        <w:t xml:space="preserve">It can be difficult to analyze the large amount of data generated by single-cell sequencing techniques.</w:t>
      </w:r>
    </w:p>
    <w:bookmarkEnd w:id="502"/>
    <w:bookmarkEnd w:id="503"/>
    <w:bookmarkStart w:id="50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04" w:name="advantages-2"/>
    <w:p>
      <w:pPr>
        <w:pStyle w:val="Heading4"/>
      </w:pPr>
      <w:r>
        <w:rPr>
          <w:rStyle w:val="SectionNumber"/>
        </w:rPr>
        <w:t xml:space="preserve">15.4.3.1</w:t>
      </w:r>
      <w:r>
        <w:tab/>
      </w:r>
      <w:r>
        <w:t xml:space="preserve">Advantages:</w:t>
      </w:r>
    </w:p>
    <w:p>
      <w:pPr>
        <w:numPr>
          <w:ilvl w:val="0"/>
          <w:numId w:val="1097"/>
        </w:numPr>
        <w:pStyle w:val="Compact"/>
      </w:pPr>
      <w:r>
        <w:t xml:space="preserve">ChIP-seq allows the identification of specific protein-DNA interactions, which provides information on the regulation of gene expression.</w:t>
      </w:r>
    </w:p>
    <w:p>
      <w:pPr>
        <w:numPr>
          <w:ilvl w:val="0"/>
          <w:numId w:val="1097"/>
        </w:numPr>
        <w:pStyle w:val="Compact"/>
      </w:pPr>
      <w:r>
        <w:t xml:space="preserve">It can be used to study the epigenetic changes associated with specific cellular processes, such as differentiation or development.</w:t>
      </w:r>
    </w:p>
    <w:p>
      <w:pPr>
        <w:numPr>
          <w:ilvl w:val="0"/>
          <w:numId w:val="1097"/>
        </w:numPr>
        <w:pStyle w:val="Compact"/>
      </w:pPr>
      <w:r>
        <w:t xml:space="preserve">ChIP-seq can identify the binding sites of transcription factors, which can be used to identify regulatory elements such as enhancers and promoters.</w:t>
      </w:r>
    </w:p>
    <w:bookmarkEnd w:id="504"/>
    <w:bookmarkStart w:id="505" w:name="disadvantages-2"/>
    <w:p>
      <w:pPr>
        <w:pStyle w:val="Heading4"/>
      </w:pPr>
      <w:r>
        <w:rPr>
          <w:rStyle w:val="SectionNumber"/>
        </w:rPr>
        <w:t xml:space="preserve">15.4.3.2</w:t>
      </w:r>
      <w:r>
        <w:tab/>
      </w:r>
      <w:r>
        <w:t xml:space="preserve">Disadvantages:</w:t>
      </w:r>
    </w:p>
    <w:p>
      <w:pPr>
        <w:numPr>
          <w:ilvl w:val="0"/>
          <w:numId w:val="1098"/>
        </w:numPr>
        <w:pStyle w:val="Compact"/>
      </w:pPr>
      <w:r>
        <w:t xml:space="preserve">ChIP-seq requires a high amount of starting material and can be costly.</w:t>
      </w:r>
    </w:p>
    <w:p>
      <w:pPr>
        <w:numPr>
          <w:ilvl w:val="0"/>
          <w:numId w:val="1098"/>
        </w:numPr>
        <w:pStyle w:val="Compact"/>
      </w:pPr>
      <w:r>
        <w:t xml:space="preserve">It can have a high level of background noise due to non-specific binding of antibodies.</w:t>
      </w:r>
    </w:p>
    <w:p>
      <w:pPr>
        <w:numPr>
          <w:ilvl w:val="0"/>
          <w:numId w:val="1098"/>
        </w:numPr>
        <w:pStyle w:val="Compact"/>
      </w:pPr>
      <w:r>
        <w:t xml:space="preserve">It can be challenging to perform</w:t>
      </w:r>
    </w:p>
    <w:bookmarkEnd w:id="505"/>
    <w:bookmarkEnd w:id="506"/>
    <w:bookmarkStart w:id="50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0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099"/>
        </w:numPr>
        <w:pStyle w:val="Compact"/>
      </w:pPr>
      <w:r>
        <w:t xml:space="preserve">CUT&amp;RUN requires a lower amount of starting material and can be performed more quickly than ChIP-seq.</w:t>
      </w:r>
    </w:p>
    <w:p>
      <w:pPr>
        <w:numPr>
          <w:ilvl w:val="0"/>
          <w:numId w:val="1099"/>
        </w:numPr>
        <w:pStyle w:val="Compact"/>
      </w:pPr>
      <w:r>
        <w:t xml:space="preserve">CUT&amp;RUN produces less background noise, as the DNA is cleaved in situ, rather than being fragmented by sonication or other methods.</w:t>
      </w:r>
    </w:p>
    <w:p>
      <w:pPr>
        <w:numPr>
          <w:ilvl w:val="0"/>
          <w:numId w:val="1099"/>
        </w:numPr>
        <w:pStyle w:val="Compact"/>
      </w:pPr>
      <w:r>
        <w:t xml:space="preserve">CUT&amp;RUN can be used to study chromatin-associated proteins that may not be easily solubilized for ChIP-seq.</w:t>
      </w:r>
    </w:p>
    <w:bookmarkEnd w:id="507"/>
    <w:bookmarkEnd w:id="508"/>
    <w:bookmarkStart w:id="51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09" w:name="how-cuttag-works"/>
    <w:p>
      <w:pPr>
        <w:pStyle w:val="Heading4"/>
      </w:pPr>
      <w:r>
        <w:rPr>
          <w:rStyle w:val="SectionNumber"/>
        </w:rPr>
        <w:t xml:space="preserve">15.4.5.1</w:t>
      </w:r>
      <w:r>
        <w:tab/>
      </w:r>
      <w:r>
        <w:t xml:space="preserve">How CUT&amp;Tag works:</w:t>
      </w:r>
    </w:p>
    <w:p>
      <w:pPr>
        <w:numPr>
          <w:ilvl w:val="0"/>
          <w:numId w:val="1100"/>
        </w:numPr>
        <w:pStyle w:val="Compact"/>
      </w:pPr>
      <w:r>
        <w:t xml:space="preserve">Cells are permeabilized and incubated with a specific antibody or protein of interest, which is fused to a protein called Protein A-Tn5 transposase.</w:t>
      </w:r>
    </w:p>
    <w:p>
      <w:pPr>
        <w:numPr>
          <w:ilvl w:val="0"/>
          <w:numId w:val="1100"/>
        </w:numPr>
        <w:pStyle w:val="Compact"/>
      </w:pPr>
      <w:r>
        <w:t xml:space="preserve">The Protein A-Tn5 transposase inserts sequencing adapters into the genomic DNA in the vicinity of the bound antibody or protein of interest.</w:t>
      </w:r>
    </w:p>
    <w:p>
      <w:pPr>
        <w:numPr>
          <w:ilvl w:val="0"/>
          <w:numId w:val="110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09"/>
    <w:bookmarkStart w:id="510" w:name="advantages-3"/>
    <w:p>
      <w:pPr>
        <w:pStyle w:val="Heading4"/>
      </w:pPr>
      <w:r>
        <w:rPr>
          <w:rStyle w:val="SectionNumber"/>
        </w:rPr>
        <w:t xml:space="preserve">15.4.5.2</w:t>
      </w:r>
      <w:r>
        <w:tab/>
      </w:r>
      <w:r>
        <w:t xml:space="preserve">Advantages:</w:t>
      </w:r>
    </w:p>
    <w:p>
      <w:pPr>
        <w:numPr>
          <w:ilvl w:val="0"/>
          <w:numId w:val="1101"/>
        </w:numPr>
        <w:pStyle w:val="Compact"/>
      </w:pPr>
      <w:r>
        <w:t xml:space="preserve">CUT&amp;Tag has a lower level of background noise and higher sensitivity due to the addition of sequencing adapters in situ.</w:t>
      </w:r>
    </w:p>
    <w:p>
      <w:pPr>
        <w:numPr>
          <w:ilvl w:val="0"/>
          <w:numId w:val="1101"/>
        </w:numPr>
        <w:pStyle w:val="Compact"/>
      </w:pPr>
      <w:r>
        <w:t xml:space="preserve">CUT&amp;Tag requires less input material than CUT&amp;RUN, which makes it a more efficient method.</w:t>
      </w:r>
    </w:p>
    <w:p>
      <w:pPr>
        <w:numPr>
          <w:ilvl w:val="0"/>
          <w:numId w:val="110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10"/>
    <w:bookmarkEnd w:id="511"/>
    <w:bookmarkStart w:id="51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12"/>
    <w:bookmarkStart w:id="514" w:name="how-gro-seq-works"/>
    <w:p>
      <w:pPr>
        <w:pStyle w:val="Heading3"/>
      </w:pPr>
      <w:r>
        <w:rPr>
          <w:rStyle w:val="SectionNumber"/>
        </w:rPr>
        <w:t xml:space="preserve">15.4.7</w:t>
      </w:r>
      <w:r>
        <w:tab/>
      </w:r>
      <w:r>
        <w:t xml:space="preserve">How GRO-seq works:</w:t>
      </w:r>
    </w:p>
    <w:p>
      <w:pPr>
        <w:numPr>
          <w:ilvl w:val="0"/>
          <w:numId w:val="1102"/>
        </w:numPr>
        <w:pStyle w:val="Compact"/>
      </w:pPr>
      <w:r>
        <w:t xml:space="preserve">Nuclei are isolated from cells and incubated with a biotinylated nucleotide triphosphate, which is incorporated into nascent RNA transcripts by RNA polymerase.</w:t>
      </w:r>
    </w:p>
    <w:p>
      <w:pPr>
        <w:numPr>
          <w:ilvl w:val="0"/>
          <w:numId w:val="1102"/>
        </w:numPr>
        <w:pStyle w:val="Compact"/>
      </w:pPr>
      <w:r>
        <w:t xml:space="preserve">The labeled RNA is then selectively captured using streptavidin beads, and the RNA is reverse-transcribed into cDNA.</w:t>
      </w:r>
    </w:p>
    <w:p>
      <w:pPr>
        <w:numPr>
          <w:ilvl w:val="0"/>
          <w:numId w:val="1102"/>
        </w:numPr>
        <w:pStyle w:val="Compact"/>
      </w:pPr>
      <w:r>
        <w:t xml:space="preserve">The cDNA is then sequenced to identify the regions of the genome that are actively transcribed.</w:t>
      </w:r>
    </w:p>
    <w:bookmarkStart w:id="513" w:name="advantages-4"/>
    <w:p>
      <w:pPr>
        <w:pStyle w:val="Heading4"/>
      </w:pPr>
      <w:r>
        <w:rPr>
          <w:rStyle w:val="SectionNumber"/>
        </w:rPr>
        <w:t xml:space="preserve">15.4.7.1</w:t>
      </w:r>
      <w:r>
        <w:tab/>
      </w:r>
      <w:r>
        <w:t xml:space="preserve">Advantages:</w:t>
      </w:r>
    </w:p>
    <w:p>
      <w:pPr>
        <w:numPr>
          <w:ilvl w:val="0"/>
          <w:numId w:val="1103"/>
        </w:numPr>
        <w:pStyle w:val="Compact"/>
      </w:pPr>
      <w:r>
        <w:t xml:space="preserve">Its ability to distinguish between the sense and antisense strands of transcribed RNA</w:t>
      </w:r>
    </w:p>
    <w:p>
      <w:pPr>
        <w:numPr>
          <w:ilvl w:val="0"/>
          <w:numId w:val="1103"/>
        </w:numPr>
        <w:pStyle w:val="Compact"/>
      </w:pPr>
      <w:r>
        <w:t xml:space="preserve">Its ability to quantify the level of transcriptional activity in individual genes</w:t>
      </w:r>
    </w:p>
    <w:p>
      <w:pPr>
        <w:numPr>
          <w:ilvl w:val="0"/>
          <w:numId w:val="110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13"/>
    <w:bookmarkEnd w:id="514"/>
    <w:bookmarkEnd w:id="515"/>
    <w:bookmarkEnd w:id="516"/>
    <w:bookmarkStart w:id="57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2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bookmarkEnd w:id="522"/>
    <w:bookmarkEnd w:id="523"/>
    <w:bookmarkStart w:id="55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41" w:name="data-quality-metrics"/>
    <w:p>
      <w:pPr>
        <w:pStyle w:val="Heading3"/>
      </w:pPr>
      <w:r>
        <w:rPr>
          <w:rStyle w:val="SectionNumber"/>
        </w:rPr>
        <w:t xml:space="preserve">16.3.1</w:t>
      </w:r>
      <w:r>
        <w:tab/>
      </w:r>
      <w:r>
        <w:t xml:space="preserve">Data quality metrics:</w:t>
      </w:r>
    </w:p>
    <w:bookmarkStart w:id="524" w:name="pre-sequencing-qc"/>
    <w:p>
      <w:pPr>
        <w:pStyle w:val="Heading4"/>
      </w:pPr>
      <w:r>
        <w:rPr>
          <w:rStyle w:val="SectionNumber"/>
        </w:rPr>
        <w:t xml:space="preserve">16.3.1.1</w:t>
      </w:r>
      <w:r>
        <w:tab/>
      </w:r>
      <w:r>
        <w:t xml:space="preserve">Pre-sequencing QC:</w:t>
      </w:r>
    </w:p>
    <w:bookmarkEnd w:id="524"/>
    <w:bookmarkStart w:id="52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bookmarkEnd w:id="527"/>
    <w:bookmarkStart w:id="52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04"/>
        </w:numPr>
        <w:pStyle w:val="Compact"/>
      </w:pPr>
      <w:r>
        <w:t xml:space="preserve">Use fasterq-dump to download files from NCBI Sequence Read Archive - this tool will automatically split the reads in multiple files</w:t>
      </w:r>
    </w:p>
    <w:bookmarkEnd w:id="529"/>
    <w:bookmarkStart w:id="53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3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31"/>
    <w:bookmarkStart w:id="53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32"/>
    <w:bookmarkStart w:id="53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34"/>
    <w:bookmarkStart w:id="53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36"/>
    <w:bookmarkStart w:id="53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37"/>
    <w:bookmarkStart w:id="53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38">
        <w:r>
          <w:rPr>
            <w:rStyle w:val="Hyperlink"/>
          </w:rPr>
          <w:t xml:space="preserve">http://cistrome.org/db/</w:t>
        </w:r>
      </w:hyperlink>
      <w:r>
        <w:t xml:space="preserve">].</w:t>
      </w:r>
    </w:p>
    <w:bookmarkEnd w:id="539"/>
    <w:bookmarkStart w:id="54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40"/>
    <w:bookmarkEnd w:id="541"/>
    <w:bookmarkStart w:id="549" w:name="information-from-atac-seq-analysis"/>
    <w:p>
      <w:pPr>
        <w:pStyle w:val="Heading3"/>
      </w:pPr>
      <w:r>
        <w:rPr>
          <w:rStyle w:val="SectionNumber"/>
        </w:rPr>
        <w:t xml:space="preserve">16.3.2</w:t>
      </w:r>
      <w:r>
        <w:tab/>
      </w:r>
      <w:r>
        <w:t xml:space="preserve">Information from ATAC-seq analysis:</w:t>
      </w:r>
    </w:p>
    <w:bookmarkStart w:id="542" w:name="major-approaches"/>
    <w:p>
      <w:pPr>
        <w:pStyle w:val="Heading4"/>
      </w:pPr>
      <w:r>
        <w:rPr>
          <w:rStyle w:val="SectionNumber"/>
        </w:rPr>
        <w:t xml:space="preserve">16.3.2.1</w:t>
      </w:r>
      <w:r>
        <w:tab/>
      </w:r>
      <w:r>
        <w:t xml:space="preserve">Major approaches:</w:t>
      </w:r>
    </w:p>
    <w:p>
      <w:pPr>
        <w:numPr>
          <w:ilvl w:val="0"/>
          <w:numId w:val="1105"/>
        </w:numPr>
        <w:pStyle w:val="Compact"/>
      </w:pPr>
      <w:r>
        <w:t xml:space="preserve">Compare changes in transcription factor motif enrichment in accessible regions between samples</w:t>
      </w:r>
    </w:p>
    <w:p>
      <w:pPr>
        <w:numPr>
          <w:ilvl w:val="0"/>
          <w:numId w:val="1105"/>
        </w:numPr>
        <w:pStyle w:val="Compact"/>
      </w:pPr>
      <w:r>
        <w:t xml:space="preserve">Compare changes in accessibility of regions (differential accessibility) between samples</w:t>
      </w:r>
    </w:p>
    <w:p>
      <w:pPr>
        <w:numPr>
          <w:ilvl w:val="0"/>
          <w:numId w:val="1105"/>
        </w:numPr>
        <w:pStyle w:val="Compact"/>
      </w:pPr>
      <w:r>
        <w:t xml:space="preserve">Footprinting - identify regions where insertion is below expected level</w:t>
      </w:r>
    </w:p>
    <w:bookmarkEnd w:id="542"/>
    <w:bookmarkStart w:id="54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43"/>
    <w:bookmarkStart w:id="54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44">
        <w:r>
          <w:rPr>
            <w:rStyle w:val="Hyperlink"/>
          </w:rPr>
          <w:t xml:space="preserve">The MEME suite</w:t>
        </w:r>
      </w:hyperlink>
      <w:r>
        <w:t xml:space="preserve"> </w:t>
      </w:r>
      <w:r>
        <w:t xml:space="preserve">has a variety of tools for motif analysis available in both web and command-line versions.</w:t>
      </w:r>
    </w:p>
    <w:bookmarkEnd w:id="545"/>
    <w:bookmarkStart w:id="54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46"/>
    <w:bookmarkStart w:id="54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47"/>
    <w:bookmarkStart w:id="54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48"/>
    <w:bookmarkEnd w:id="549"/>
    <w:bookmarkEnd w:id="550"/>
    <w:bookmarkStart w:id="55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0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06"/>
        </w:numPr>
        <w:pStyle w:val="Compact"/>
      </w:pPr>
      <w:r>
        <w:t xml:space="preserve">In principle, ATAC-seq can identify a large proportion of cis-regulatory elements.</w:t>
      </w:r>
    </w:p>
    <w:p>
      <w:pPr>
        <w:numPr>
          <w:ilvl w:val="0"/>
          <w:numId w:val="1106"/>
        </w:numPr>
        <w:pStyle w:val="Compact"/>
      </w:pPr>
      <w:r>
        <w:t xml:space="preserve">In contrast to ChIP-seq, ATAC-seq does not require specific antibodies- ATAC-seq is a time-efficient protocol which requires low cell input.</w:t>
      </w:r>
    </w:p>
    <w:p>
      <w:pPr>
        <w:numPr>
          <w:ilvl w:val="0"/>
          <w:numId w:val="110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51"/>
    <w:bookmarkStart w:id="55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0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07"/>
        </w:numPr>
        <w:pStyle w:val="Compact"/>
      </w:pPr>
      <w:r>
        <w:t xml:space="preserve">Whereas ATAC-seq indicates the presence of a putative cis-regulatory element, H3K27ac ChIP-seq is able to separate accessible regions from those that are accessible and active.</w:t>
      </w:r>
    </w:p>
    <w:p>
      <w:pPr>
        <w:numPr>
          <w:ilvl w:val="0"/>
          <w:numId w:val="1107"/>
        </w:numPr>
        <w:pStyle w:val="Compact"/>
      </w:pPr>
      <w:r>
        <w:t xml:space="preserve">Accessible regions are not necessarily cis-regulatory regions, although many of them are.</w:t>
      </w:r>
    </w:p>
    <w:p>
      <w:pPr>
        <w:numPr>
          <w:ilvl w:val="0"/>
          <w:numId w:val="1107"/>
        </w:numPr>
        <w:pStyle w:val="Compact"/>
      </w:pPr>
      <w:r>
        <w:t xml:space="preserve">The genes that are regulated by cis-regulatory elements cannot be identified conclusively by ATAC-seq alone.</w:t>
      </w:r>
    </w:p>
    <w:p>
      <w:pPr>
        <w:numPr>
          <w:ilvl w:val="0"/>
          <w:numId w:val="110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52"/>
    <w:bookmarkStart w:id="55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53"/>
    <w:bookmarkStart w:id="55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08"/>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0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09"/>
        </w:numPr>
        <w:pStyle w:val="Compact"/>
      </w:pPr>
      <w:r>
        <w:rPr>
          <w:bCs/>
          <w:b/>
        </w:rPr>
        <w:t xml:space="preserve">Cons</w:t>
      </w:r>
      <w:r>
        <w:t xml:space="preserve">: assumes that all peaks have the same shape, may not be as accurate as other peak-calling tools in some cases.</w:t>
      </w:r>
    </w:p>
    <w:p>
      <w:pPr>
        <w:numPr>
          <w:ilvl w:val="0"/>
          <w:numId w:val="1108"/>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0"/>
        </w:numPr>
        <w:pStyle w:val="Compact"/>
      </w:pPr>
      <w:r>
        <w:rPr>
          <w:bCs/>
          <w:b/>
        </w:rPr>
        <w:t xml:space="preserve">Cons</w:t>
      </w:r>
      <w:r>
        <w:t xml:space="preserve">: may not be as accurate as other peak-calling tools in some cases.</w:t>
      </w:r>
    </w:p>
    <w:p>
      <w:pPr>
        <w:numPr>
          <w:ilvl w:val="0"/>
          <w:numId w:val="1108"/>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1"/>
        </w:numPr>
        <w:pStyle w:val="Compact"/>
      </w:pPr>
      <w:r>
        <w:rPr>
          <w:bCs/>
          <w:b/>
        </w:rPr>
        <w:t xml:space="preserve">Cons</w:t>
      </w:r>
      <w:r>
        <w:t xml:space="preserve">: does not perform peak-calling or downstream analysis.</w:t>
      </w:r>
    </w:p>
    <w:p>
      <w:pPr>
        <w:numPr>
          <w:ilvl w:val="0"/>
          <w:numId w:val="1108"/>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2"/>
        </w:numPr>
        <w:pStyle w:val="Compact"/>
      </w:pPr>
      <w:r>
        <w:rPr>
          <w:bCs/>
          <w:b/>
        </w:rPr>
        <w:t xml:space="preserve">Cons</w:t>
      </w:r>
      <w:r>
        <w:t xml:space="preserve">: may require some programming skills to use effectively.</w:t>
      </w:r>
    </w:p>
    <w:p>
      <w:pPr>
        <w:numPr>
          <w:ilvl w:val="0"/>
          <w:numId w:val="1108"/>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3"/>
        </w:numPr>
        <w:pStyle w:val="Compact"/>
      </w:pPr>
      <w:r>
        <w:rPr>
          <w:bCs/>
          <w:b/>
        </w:rPr>
        <w:t xml:space="preserve">Cons</w:t>
      </w:r>
      <w:r>
        <w:t xml:space="preserve">: may require more computational resources than other tools.</w:t>
      </w:r>
    </w:p>
    <w:bookmarkEnd w:id="559"/>
    <w:bookmarkStart w:id="56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4"/>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5"/>
        </w:numPr>
        <w:pStyle w:val="Compact"/>
      </w:pPr>
      <w:r>
        <w:rPr>
          <w:bCs/>
          <w:b/>
        </w:rPr>
        <w:t xml:space="preserve">Cons</w:t>
      </w:r>
      <w:r>
        <w:t xml:space="preserve">: assumes that all peaks have the same shape, may not be as accurate as other peak-calling tools in some cases.</w:t>
      </w:r>
    </w:p>
    <w:p>
      <w:pPr>
        <w:numPr>
          <w:ilvl w:val="0"/>
          <w:numId w:val="1114"/>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6"/>
        </w:numPr>
        <w:pStyle w:val="Compact"/>
      </w:pPr>
      <w:r>
        <w:rPr>
          <w:bCs/>
          <w:b/>
        </w:rPr>
        <w:t xml:space="preserve">Cons</w:t>
      </w:r>
      <w:r>
        <w:t xml:space="preserve">: may not be as accurate as other peak-calling tools in some cases.</w:t>
      </w:r>
    </w:p>
    <w:p>
      <w:pPr>
        <w:numPr>
          <w:ilvl w:val="0"/>
          <w:numId w:val="1114"/>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7"/>
        </w:numPr>
        <w:pStyle w:val="Compact"/>
      </w:pPr>
      <w:r>
        <w:rPr>
          <w:bCs/>
          <w:b/>
        </w:rPr>
        <w:t xml:space="preserve">Cons</w:t>
      </w:r>
      <w:r>
        <w:t xml:space="preserve">: does not perform peak-calling or downstream analysis.</w:t>
      </w:r>
    </w:p>
    <w:p>
      <w:pPr>
        <w:numPr>
          <w:ilvl w:val="0"/>
          <w:numId w:val="1114"/>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8"/>
        </w:numPr>
        <w:pStyle w:val="Compact"/>
      </w:pPr>
      <w:r>
        <w:rPr>
          <w:bCs/>
          <w:b/>
        </w:rPr>
        <w:t xml:space="preserve">Cons</w:t>
      </w:r>
      <w:r>
        <w:t xml:space="preserve">: may require some programming skills to use effectively.</w:t>
      </w:r>
    </w:p>
    <w:p>
      <w:pPr>
        <w:numPr>
          <w:ilvl w:val="0"/>
          <w:numId w:val="1114"/>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9"/>
        </w:numPr>
        <w:pStyle w:val="Compact"/>
      </w:pPr>
      <w:r>
        <w:rPr>
          <w:bCs/>
          <w:b/>
        </w:rPr>
        <w:t xml:space="preserve">Cons</w:t>
      </w:r>
      <w:r>
        <w:t xml:space="preserve">: may require more computational resources than other tools.</w:t>
      </w:r>
    </w:p>
    <w:bookmarkEnd w:id="560"/>
    <w:bookmarkStart w:id="566" w:name="additional-tutorials-and-tools-1"/>
    <w:p>
      <w:pPr>
        <w:pStyle w:val="Heading2"/>
      </w:pPr>
      <w:r>
        <w:rPr>
          <w:rStyle w:val="SectionNumber"/>
        </w:rPr>
        <w:t xml:space="preserve">16.9</w:t>
      </w:r>
      <w:r>
        <w:tab/>
      </w:r>
      <w:r>
        <w:t xml:space="preserve">Additional tutorials and tools</w:t>
      </w:r>
    </w:p>
    <w:p>
      <w:pPr>
        <w:numPr>
          <w:ilvl w:val="0"/>
          <w:numId w:val="1120"/>
        </w:numPr>
        <w:pStyle w:val="Compact"/>
      </w:pPr>
      <w:hyperlink r:id="rId56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20"/>
        </w:numPr>
        <w:pStyle w:val="Compact"/>
      </w:pPr>
      <w:hyperlink r:id="rId56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20"/>
        </w:numPr>
        <w:pStyle w:val="Compact"/>
      </w:pPr>
      <w:hyperlink r:id="rId56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20"/>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0"/>
        </w:numPr>
        <w:pStyle w:val="Compact"/>
      </w:pPr>
      <w:hyperlink r:id="rId56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566"/>
    <w:bookmarkStart w:id="567" w:name="online-visualization-tools"/>
    <w:p>
      <w:pPr>
        <w:pStyle w:val="Heading2"/>
      </w:pPr>
      <w:r>
        <w:rPr>
          <w:rStyle w:val="SectionNumber"/>
        </w:rPr>
        <w:t xml:space="preserve">16.10</w:t>
      </w:r>
      <w:r>
        <w:tab/>
      </w:r>
      <w:r>
        <w:t xml:space="preserve">Online Visualization tools</w:t>
      </w:r>
    </w:p>
    <w:p>
      <w:pPr>
        <w:numPr>
          <w:ilvl w:val="0"/>
          <w:numId w:val="1121"/>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2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67"/>
    <w:bookmarkStart w:id="575" w:name="more-resources-about-atac-seq-data"/>
    <w:p>
      <w:pPr>
        <w:pStyle w:val="Heading2"/>
      </w:pPr>
      <w:r>
        <w:rPr>
          <w:rStyle w:val="SectionNumber"/>
        </w:rPr>
        <w:t xml:space="preserve">16.11</w:t>
      </w:r>
      <w:r>
        <w:tab/>
      </w:r>
      <w:r>
        <w:t xml:space="preserve">More resources about ATAC-seq data</w:t>
      </w:r>
    </w:p>
    <w:p>
      <w:pPr>
        <w:numPr>
          <w:ilvl w:val="0"/>
          <w:numId w:val="1122"/>
        </w:numPr>
        <w:pStyle w:val="Compact"/>
      </w:pPr>
      <w:hyperlink r:id="rId568">
        <w:r>
          <w:rPr>
            <w:rStyle w:val="Hyperlink"/>
          </w:rPr>
          <w:t xml:space="preserve">ATAC-seq overview from Galaxy</w:t>
        </w:r>
      </w:hyperlink>
      <w:r>
        <w:t xml:space="preserve"> </w:t>
      </w:r>
      <w:r>
        <w:t xml:space="preserve">- these slides explain the overarching concepts of ATAC-seq.</w:t>
      </w:r>
    </w:p>
    <w:p>
      <w:pPr>
        <w:numPr>
          <w:ilvl w:val="0"/>
          <w:numId w:val="1122"/>
        </w:numPr>
        <w:pStyle w:val="Compact"/>
      </w:pPr>
      <w:hyperlink r:id="rId56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22"/>
        </w:numPr>
        <w:pStyle w:val="Compact"/>
      </w:pPr>
      <w:hyperlink r:id="rId57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22"/>
        </w:numPr>
        <w:pStyle w:val="Compact"/>
      </w:pPr>
      <w:hyperlink r:id="rId571">
        <w:r>
          <w:rPr>
            <w:rStyle w:val="Hyperlink"/>
          </w:rPr>
          <w:t xml:space="preserve">Identifying and mitigating bias in chromatin</w:t>
        </w:r>
      </w:hyperlink>
    </w:p>
    <w:p>
      <w:pPr>
        <w:numPr>
          <w:ilvl w:val="0"/>
          <w:numId w:val="1122"/>
        </w:numPr>
        <w:pStyle w:val="Compact"/>
      </w:pPr>
      <w:hyperlink r:id="rId572">
        <w:r>
          <w:rPr>
            <w:rStyle w:val="Hyperlink"/>
          </w:rPr>
          <w:t xml:space="preserve">CHIP Snakemake pipeline for analyzing ChIP-seq and chromatin accessibility data</w:t>
        </w:r>
      </w:hyperlink>
    </w:p>
    <w:p>
      <w:pPr>
        <w:numPr>
          <w:ilvl w:val="0"/>
          <w:numId w:val="1122"/>
        </w:numPr>
        <w:pStyle w:val="Compact"/>
      </w:pPr>
      <w:hyperlink r:id="rId573">
        <w:r>
          <w:rPr>
            <w:rStyle w:val="Hyperlink"/>
          </w:rPr>
          <w:t xml:space="preserve">Paper on bias in DNase-seq footprinting analysis and fragment size effects, similar comments apply to ATAC-seq</w:t>
        </w:r>
      </w:hyperlink>
    </w:p>
    <w:p>
      <w:pPr>
        <w:numPr>
          <w:ilvl w:val="0"/>
          <w:numId w:val="1122"/>
        </w:numPr>
        <w:pStyle w:val="Compact"/>
      </w:pPr>
      <w:hyperlink r:id="rId574">
        <w:r>
          <w:rPr>
            <w:rStyle w:val="Hyperlink"/>
          </w:rPr>
          <w:t xml:space="preserve">SELMA Method for evaluating footprint bias in ATAC-seq</w:t>
        </w:r>
      </w:hyperlink>
    </w:p>
    <w:bookmarkEnd w:id="575"/>
    <w:bookmarkEnd w:id="576"/>
    <w:bookmarkStart w:id="61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77"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577"/>
    <w:bookmarkStart w:id="5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578"/>
    <w:bookmarkStart w:id="5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579"/>
    <w:bookmarkStart w:id="5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580"/>
    <w:bookmarkStart w:id="5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581"/>
    <w:bookmarkStart w:id="5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582"/>
    <w:bookmarkStart w:id="5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583"/>
    <w:bookmarkStart w:id="58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23"/>
        </w:numPr>
        <w:pStyle w:val="Compact"/>
      </w:pPr>
      <w:hyperlink r:id="rId5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23"/>
        </w:numPr>
        <w:pStyle w:val="Compact"/>
      </w:pPr>
      <w:hyperlink r:id="rId58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23"/>
        </w:numPr>
        <w:pStyle w:val="Compact"/>
      </w:pPr>
      <w:hyperlink r:id="rId58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23"/>
        </w:numPr>
        <w:pStyle w:val="Compact"/>
      </w:pPr>
      <w:hyperlink r:id="rId58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588"/>
    <w:bookmarkStart w:id="58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2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2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24"/>
        </w:numPr>
        <w:pStyle w:val="Compact"/>
      </w:pPr>
      <w:r>
        <w:t xml:space="preserve">scATAC-seq is also a relatively high throughput technique, particularly with droplet based techniques. A single dataset can cover thousands of cells.</w:t>
      </w:r>
    </w:p>
    <w:bookmarkEnd w:id="589"/>
    <w:bookmarkStart w:id="59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2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2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2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2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590"/>
    <w:bookmarkStart w:id="59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59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592"/>
    <w:bookmarkStart w:id="601" w:name="scatac-seq-analysis-tools"/>
    <w:p>
      <w:pPr>
        <w:pStyle w:val="Heading2"/>
      </w:pPr>
      <w:r>
        <w:rPr>
          <w:rStyle w:val="SectionNumber"/>
        </w:rPr>
        <w:t xml:space="preserve">17.12</w:t>
      </w:r>
      <w:r>
        <w:tab/>
      </w:r>
      <w:r>
        <w:t xml:space="preserve">scATAC-seq analysis tools</w:t>
      </w:r>
    </w:p>
    <w:p>
      <w:pPr>
        <w:numPr>
          <w:ilvl w:val="0"/>
          <w:numId w:val="1126"/>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26"/>
        </w:numPr>
        <w:pStyle w:val="Compact"/>
      </w:pPr>
      <w:hyperlink r:id="rId59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59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26"/>
        </w:numPr>
        <w:pStyle w:val="Compact"/>
      </w:pPr>
      <w:hyperlink r:id="rId59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26"/>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26"/>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26"/>
        </w:numPr>
        <w:pStyle w:val="Compact"/>
      </w:pPr>
      <w:hyperlink r:id="rId59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597" w:name="doublet-detection"/>
    <w:p>
      <w:pPr>
        <w:pStyle w:val="Heading4"/>
      </w:pPr>
      <w:r>
        <w:rPr>
          <w:rStyle w:val="SectionNumber"/>
        </w:rPr>
        <w:t xml:space="preserve">17.12.0.1</w:t>
      </w:r>
      <w:r>
        <w:tab/>
      </w:r>
      <w:r>
        <w:t xml:space="preserve">Doublet detection</w:t>
      </w:r>
    </w:p>
    <w:p>
      <w:pPr>
        <w:pStyle w:val="FirstParagraph"/>
      </w:pPr>
      <w:hyperlink r:id="rId59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597"/>
    <w:bookmarkStart w:id="600"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598">
        <w:r>
          <w:rPr>
            <w:rStyle w:val="Hyperlink"/>
          </w:rPr>
          <w:t xml:space="preserve">matplotlib</w:t>
        </w:r>
      </w:hyperlink>
      <w:r>
        <w:t xml:space="preserve"> </w:t>
      </w:r>
      <w:r>
        <w:t xml:space="preserve">or</w:t>
      </w:r>
      <w:r>
        <w:t xml:space="preserve"> </w:t>
      </w:r>
      <w:hyperlink r:id="rId59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00"/>
    <w:bookmarkEnd w:id="601"/>
    <w:bookmarkStart w:id="60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0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58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03"/>
    <w:bookmarkStart w:id="605" w:name="motif-detection-ex.-chromvar"/>
    <w:p>
      <w:pPr>
        <w:pStyle w:val="Heading2"/>
      </w:pPr>
      <w:r>
        <w:rPr>
          <w:rStyle w:val="SectionNumber"/>
        </w:rPr>
        <w:t xml:space="preserve">17.14</w:t>
      </w:r>
      <w:r>
        <w:tab/>
      </w:r>
      <w:r>
        <w:t xml:space="preserve">Motif detection (ex. ChromVar)</w:t>
      </w:r>
    </w:p>
    <w:p>
      <w:pPr>
        <w:pStyle w:val="FirstParagraph"/>
      </w:pPr>
      <w:hyperlink r:id="rId60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05"/>
    <w:bookmarkStart w:id="607" w:name="regulatory-network-detection"/>
    <w:p>
      <w:pPr>
        <w:pStyle w:val="Heading2"/>
      </w:pPr>
      <w:r>
        <w:rPr>
          <w:rStyle w:val="SectionNumber"/>
        </w:rPr>
        <w:t xml:space="preserve">17.15</w:t>
      </w:r>
      <w:r>
        <w:tab/>
      </w:r>
      <w:r>
        <w:t xml:space="preserve">Regulatory network detection</w:t>
      </w:r>
    </w:p>
    <w:p>
      <w:pPr>
        <w:pStyle w:val="FirstParagraph"/>
      </w:pPr>
      <w:hyperlink r:id="rId60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07"/>
    <w:bookmarkStart w:id="61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27"/>
        </w:numPr>
        <w:pStyle w:val="Compact"/>
      </w:pPr>
      <w:hyperlink r:id="rId608">
        <w:r>
          <w:rPr>
            <w:rStyle w:val="Hyperlink"/>
          </w:rPr>
          <w:t xml:space="preserve">SingleCellExperiment</w:t>
        </w:r>
      </w:hyperlink>
    </w:p>
    <w:p>
      <w:pPr>
        <w:numPr>
          <w:ilvl w:val="0"/>
          <w:numId w:val="1127"/>
        </w:numPr>
        <w:pStyle w:val="Compact"/>
      </w:pPr>
      <w:hyperlink r:id="rId609">
        <w:r>
          <w:rPr>
            <w:rStyle w:val="Hyperlink"/>
          </w:rPr>
          <w:t xml:space="preserve">Seurat/h5Seurat</w:t>
        </w:r>
      </w:hyperlink>
    </w:p>
    <w:p>
      <w:pPr>
        <w:numPr>
          <w:ilvl w:val="0"/>
          <w:numId w:val="1127"/>
        </w:numPr>
        <w:pStyle w:val="Compact"/>
      </w:pPr>
      <w:hyperlink r:id="rId610">
        <w:r>
          <w:rPr>
            <w:rStyle w:val="Hyperlink"/>
          </w:rPr>
          <w:t xml:space="preserve">annData objects</w:t>
        </w:r>
      </w:hyperlink>
    </w:p>
    <w:p>
      <w:pPr>
        <w:pStyle w:val="FirstParagraph"/>
      </w:pPr>
      <w:r>
        <w:t xml:space="preserve">H5seurat objects can be</w:t>
      </w:r>
      <w:r>
        <w:t xml:space="preserve"> </w:t>
      </w:r>
      <w:hyperlink r:id="rId611">
        <w:r>
          <w:rPr>
            <w:rStyle w:val="Hyperlink"/>
          </w:rPr>
          <w:t xml:space="preserve">converted to annData objects using SeuratDisk</w:t>
        </w:r>
      </w:hyperlink>
      <w:r>
        <w:t xml:space="preserve">.</w:t>
      </w:r>
    </w:p>
    <w:bookmarkEnd w:id="612"/>
    <w:bookmarkStart w:id="61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28"/>
        </w:numPr>
        <w:pStyle w:val="Compact"/>
      </w:pPr>
      <w:hyperlink r:id="rId613">
        <w:r>
          <w:rPr>
            <w:rStyle w:val="Hyperlink"/>
          </w:rPr>
          <w:t xml:space="preserve">Galaxy tutorial for sc-ATAC-seq analysis</w:t>
        </w:r>
      </w:hyperlink>
    </w:p>
    <w:p>
      <w:pPr>
        <w:numPr>
          <w:ilvl w:val="0"/>
          <w:numId w:val="1128"/>
        </w:numPr>
        <w:pStyle w:val="Compact"/>
      </w:pPr>
      <w:hyperlink r:id="rId614">
        <w:r>
          <w:rPr>
            <w:rStyle w:val="Hyperlink"/>
          </w:rPr>
          <w:t xml:space="preserve">Signac scATAC-seq tutorial with pbmcs</w:t>
        </w:r>
      </w:hyperlink>
    </w:p>
    <w:p>
      <w:pPr>
        <w:numPr>
          <w:ilvl w:val="0"/>
          <w:numId w:val="1128"/>
        </w:numPr>
        <w:pStyle w:val="Compact"/>
      </w:pPr>
      <w:hyperlink r:id="rId615">
        <w:r>
          <w:rPr>
            <w:rStyle w:val="Hyperlink"/>
          </w:rPr>
          <w:t xml:space="preserve">sc ATAC-seq chapter - Intro to Bioinformatics and Comp Bio</w:t>
        </w:r>
      </w:hyperlink>
    </w:p>
    <w:p>
      <w:pPr>
        <w:numPr>
          <w:ilvl w:val="0"/>
          <w:numId w:val="1128"/>
        </w:numPr>
        <w:pStyle w:val="Compact"/>
      </w:pPr>
      <w:hyperlink r:id="rId616">
        <w:r>
          <w:rPr>
            <w:rStyle w:val="Hyperlink"/>
          </w:rPr>
          <w:t xml:space="preserve">Single Cell ATAC-seq youtube video</w:t>
        </w:r>
      </w:hyperlink>
    </w:p>
    <w:p>
      <w:pPr>
        <w:numPr>
          <w:ilvl w:val="0"/>
          <w:numId w:val="1128"/>
        </w:numPr>
        <w:pStyle w:val="Compact"/>
      </w:pPr>
      <w:hyperlink r:id="rId617">
        <w:r>
          <w:rPr>
            <w:rStyle w:val="Hyperlink"/>
          </w:rPr>
          <w:t xml:space="preserve">Comprehensive analysis of single cell ATAC-seq data with SnapATAC</w:t>
        </w:r>
      </w:hyperlink>
    </w:p>
    <w:bookmarkEnd w:id="618"/>
    <w:bookmarkEnd w:id="619"/>
    <w:bookmarkStart w:id="66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21"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bookmarkEnd w:id="621"/>
    <w:bookmarkStart w:id="623"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2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2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2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2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2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23"/>
    <w:bookmarkStart w:id="624"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3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3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3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3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3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3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24"/>
    <w:bookmarkStart w:id="626"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3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3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3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25">
        <w:r>
          <w:rPr>
            <w:rStyle w:val="Hyperlink"/>
          </w:rPr>
          <w:t xml:space="preserve">Hocomoco</w:t>
        </w:r>
      </w:hyperlink>
      <w:r>
        <w:t xml:space="preserve">.</w:t>
      </w:r>
    </w:p>
    <w:p>
      <w:pPr>
        <w:numPr>
          <w:ilvl w:val="0"/>
          <w:numId w:val="113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26"/>
    <w:bookmarkStart w:id="627"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3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3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3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3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3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27"/>
    <w:bookmarkStart w:id="628"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28"/>
    <w:bookmarkStart w:id="660" w:name="chip-seq-analysis-tools"/>
    <w:p>
      <w:pPr>
        <w:pStyle w:val="Heading2"/>
      </w:pPr>
      <w:r>
        <w:rPr>
          <w:rStyle w:val="SectionNumber"/>
        </w:rPr>
        <w:t xml:space="preserve">18.7</w:t>
      </w:r>
      <w:r>
        <w:tab/>
      </w:r>
      <w:r>
        <w:t xml:space="preserve">ChiP-seq analysis tools</w:t>
      </w:r>
    </w:p>
    <w:bookmarkStart w:id="631" w:name="tools-for-quality-checks"/>
    <w:p>
      <w:pPr>
        <w:pStyle w:val="Heading3"/>
      </w:pPr>
      <w:r>
        <w:rPr>
          <w:rStyle w:val="SectionNumber"/>
        </w:rPr>
        <w:t xml:space="preserve">18.7.1</w:t>
      </w:r>
      <w:r>
        <w:tab/>
      </w:r>
      <w:r>
        <w:t xml:space="preserve">Tools for quality checks</w:t>
      </w:r>
    </w:p>
    <w:p>
      <w:pPr>
        <w:numPr>
          <w:ilvl w:val="0"/>
          <w:numId w:val="113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3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33"/>
        </w:numPr>
        <w:pStyle w:val="Compact"/>
      </w:pPr>
      <w:hyperlink r:id="rId629">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33"/>
        </w:numPr>
        <w:pStyle w:val="Compact"/>
      </w:pPr>
      <w:hyperlink r:id="rId630">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31"/>
    <w:bookmarkStart w:id="635" w:name="tools-for-peak-calling"/>
    <w:p>
      <w:pPr>
        <w:pStyle w:val="Heading3"/>
      </w:pPr>
      <w:r>
        <w:rPr>
          <w:rStyle w:val="SectionNumber"/>
        </w:rPr>
        <w:t xml:space="preserve">18.7.2</w:t>
      </w:r>
      <w:r>
        <w:tab/>
      </w:r>
      <w:r>
        <w:t xml:space="preserve">Tools for Peak calling:</w:t>
      </w:r>
    </w:p>
    <w:p>
      <w:pPr>
        <w:numPr>
          <w:ilvl w:val="0"/>
          <w:numId w:val="1134"/>
        </w:numPr>
        <w:pStyle w:val="Compact"/>
      </w:pPr>
      <w:hyperlink r:id="rId629">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34"/>
        </w:numPr>
        <w:pStyle w:val="Compact"/>
      </w:pPr>
      <w:hyperlink r:id="rId632">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34"/>
        </w:numPr>
        <w:pStyle w:val="Compact"/>
      </w:pPr>
      <w:hyperlink r:id="rId633">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34"/>
        </w:numPr>
        <w:pStyle w:val="Compact"/>
      </w:pPr>
      <w:hyperlink r:id="rId634">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35"/>
    <w:bookmarkStart w:id="644" w:name="tools-for-differential-analysis"/>
    <w:p>
      <w:pPr>
        <w:pStyle w:val="Heading3"/>
      </w:pPr>
      <w:r>
        <w:rPr>
          <w:rStyle w:val="SectionNumber"/>
        </w:rPr>
        <w:t xml:space="preserve">18.7.3</w:t>
      </w:r>
      <w:r>
        <w:tab/>
      </w:r>
      <w:r>
        <w:t xml:space="preserve">Tools for Differential Analysis</w:t>
      </w:r>
    </w:p>
    <w:p>
      <w:pPr>
        <w:numPr>
          <w:ilvl w:val="0"/>
          <w:numId w:val="1135"/>
        </w:numPr>
        <w:pStyle w:val="Compact"/>
      </w:pPr>
      <w:hyperlink r:id="rId636">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35"/>
        </w:numPr>
        <w:pStyle w:val="Compact"/>
      </w:pPr>
      <w:hyperlink r:id="rId637">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35"/>
        </w:numPr>
        <w:pStyle w:val="Compact"/>
      </w:pPr>
      <w:hyperlink r:id="rId638">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35"/>
        </w:numPr>
        <w:pStyle w:val="Compact"/>
      </w:pPr>
      <w:hyperlink r:id="rId633">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35"/>
        </w:numPr>
        <w:pStyle w:val="Compact"/>
      </w:pPr>
      <w:hyperlink r:id="rId639">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35"/>
        </w:numPr>
        <w:pStyle w:val="Compact"/>
      </w:pPr>
      <w:hyperlink r:id="rId640">
        <w:r>
          <w:rPr>
            <w:rStyle w:val="Hyperlink"/>
          </w:rPr>
          <w:t xml:space="preserve">Cistrome-GO</w:t>
        </w:r>
      </w:hyperlink>
      <w:r>
        <w:t xml:space="preserve">: A web-based tool for determining the gene ontologies of genes likely to be regulated by regions discovered through TF ChIP-seq.</w:t>
      </w:r>
    </w:p>
    <w:p>
      <w:pPr>
        <w:numPr>
          <w:ilvl w:val="0"/>
          <w:numId w:val="1135"/>
        </w:numPr>
        <w:pStyle w:val="Compact"/>
      </w:pPr>
      <w:hyperlink r:id="rId641">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35"/>
        </w:numPr>
        <w:pStyle w:val="Compact"/>
      </w:pPr>
      <w:hyperlink r:id="rId642">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35"/>
        </w:numPr>
        <w:pStyle w:val="Compact"/>
      </w:pPr>
      <w:hyperlink r:id="rId643">
        <w:r>
          <w:rPr>
            <w:rStyle w:val="Hyperlink"/>
          </w:rPr>
          <w:t xml:space="preserve">Cistrome DB</w:t>
        </w:r>
      </w:hyperlink>
      <w:r>
        <w:t xml:space="preserve">: The website allows users to upload their enriched regions, returning TF ChIP-seq, DNase-seq or ATAC-seq samples with similar profiles.</w:t>
      </w:r>
    </w:p>
    <w:bookmarkEnd w:id="644"/>
    <w:bookmarkStart w:id="647" w:name="motif-analysis-1"/>
    <w:p>
      <w:pPr>
        <w:pStyle w:val="Heading3"/>
      </w:pPr>
      <w:r>
        <w:rPr>
          <w:rStyle w:val="SectionNumber"/>
        </w:rPr>
        <w:t xml:space="preserve">18.7.4</w:t>
      </w:r>
      <w:r>
        <w:tab/>
      </w:r>
      <w:r>
        <w:t xml:space="preserve">Motif Analysis</w:t>
      </w:r>
    </w:p>
    <w:p>
      <w:pPr>
        <w:numPr>
          <w:ilvl w:val="0"/>
          <w:numId w:val="1136"/>
        </w:numPr>
        <w:pStyle w:val="Compact"/>
      </w:pPr>
      <w:hyperlink r:id="rId54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36"/>
        </w:numPr>
        <w:pStyle w:val="Compact"/>
      </w:pPr>
      <w:hyperlink r:id="rId633">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36"/>
        </w:numPr>
        <w:pStyle w:val="Compact"/>
      </w:pPr>
      <w:hyperlink r:id="rId645">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36"/>
        </w:numPr>
        <w:pStyle w:val="Compact"/>
      </w:pPr>
      <w:hyperlink r:id="rId646">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47"/>
    <w:bookmarkStart w:id="649" w:name="tools-for-preprocessing"/>
    <w:p>
      <w:pPr>
        <w:pStyle w:val="Heading3"/>
      </w:pPr>
      <w:r>
        <w:rPr>
          <w:rStyle w:val="SectionNumber"/>
        </w:rPr>
        <w:t xml:space="preserve">18.7.5</w:t>
      </w:r>
      <w:r>
        <w:tab/>
      </w:r>
      <w:r>
        <w:t xml:space="preserve">Tools for preprocessing</w:t>
      </w:r>
    </w:p>
    <w:p>
      <w:pPr>
        <w:numPr>
          <w:ilvl w:val="0"/>
          <w:numId w:val="1137"/>
        </w:numPr>
        <w:pStyle w:val="Compact"/>
      </w:pPr>
      <w:hyperlink r:id="rId59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37"/>
        </w:numPr>
        <w:pStyle w:val="Compact"/>
      </w:pPr>
      <w:hyperlink r:id="rId64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37"/>
        </w:numPr>
        <w:pStyle w:val="Compact"/>
      </w:pPr>
      <w:hyperlink r:id="rId59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3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3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49"/>
    <w:bookmarkStart w:id="653" w:name="tools-for-making-visualizations"/>
    <w:p>
      <w:pPr>
        <w:pStyle w:val="Heading3"/>
      </w:pPr>
      <w:r>
        <w:rPr>
          <w:rStyle w:val="SectionNumber"/>
        </w:rPr>
        <w:t xml:space="preserve">18.7.6</w:t>
      </w:r>
      <w:r>
        <w:tab/>
      </w:r>
      <w:r>
        <w:t xml:space="preserve">Tools for making visualizations</w:t>
      </w:r>
    </w:p>
    <w:p>
      <w:pPr>
        <w:numPr>
          <w:ilvl w:val="0"/>
          <w:numId w:val="113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38"/>
        </w:numPr>
        <w:pStyle w:val="Compact"/>
      </w:pPr>
      <w:r>
        <w:t xml:space="preserve">The</w:t>
      </w:r>
      <w:r>
        <w:t xml:space="preserve"> </w:t>
      </w:r>
      <w:hyperlink r:id="rId65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38"/>
        </w:numPr>
        <w:pStyle w:val="Compact"/>
      </w:pPr>
      <w:hyperlink r:id="rId65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3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38"/>
        </w:numPr>
        <w:pStyle w:val="Compact"/>
      </w:pPr>
      <w:hyperlink r:id="rId65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53"/>
    <w:bookmarkStart w:id="659" w:name="tools-for-making-heatmaps"/>
    <w:p>
      <w:pPr>
        <w:pStyle w:val="Heading3"/>
      </w:pPr>
      <w:r>
        <w:rPr>
          <w:rStyle w:val="SectionNumber"/>
        </w:rPr>
        <w:t xml:space="preserve">18.7.7</w:t>
      </w:r>
      <w:r>
        <w:tab/>
      </w:r>
      <w:r>
        <w:t xml:space="preserve">Tools for making heatmaps</w:t>
      </w:r>
    </w:p>
    <w:p>
      <w:pPr>
        <w:numPr>
          <w:ilvl w:val="0"/>
          <w:numId w:val="1139"/>
        </w:numPr>
        <w:pStyle w:val="Compact"/>
      </w:pPr>
      <w:hyperlink r:id="rId65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3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39"/>
        </w:numPr>
        <w:pStyle w:val="Compact"/>
      </w:pPr>
      <w:hyperlink r:id="rId655">
        <w:r>
          <w:rPr>
            <w:rStyle w:val="Hyperlink"/>
          </w:rPr>
          <w:t xml:space="preserve">EnrichedHeatmap</w:t>
        </w:r>
      </w:hyperlink>
      <w:r>
        <w:t xml:space="preserve">is an R package for making heatmaps that visualize the enrichment of genomic signals on specific target regions.</w:t>
      </w:r>
    </w:p>
    <w:p>
      <w:pPr>
        <w:numPr>
          <w:ilvl w:val="0"/>
          <w:numId w:val="1139"/>
        </w:numPr>
        <w:pStyle w:val="Compact"/>
      </w:pPr>
      <w:hyperlink r:id="rId65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39"/>
        </w:numPr>
        <w:pStyle w:val="Compact"/>
      </w:pPr>
      <w:hyperlink r:id="rId65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39"/>
        </w:numPr>
        <w:pStyle w:val="Compact"/>
      </w:pPr>
      <w:hyperlink r:id="rId65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59"/>
    <w:bookmarkEnd w:id="660"/>
    <w:bookmarkStart w:id="668"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40"/>
        </w:numPr>
        <w:pStyle w:val="Compact"/>
      </w:pPr>
      <w:hyperlink r:id="rId661">
        <w:r>
          <w:rPr>
            <w:rStyle w:val="Hyperlink"/>
          </w:rPr>
          <w:t xml:space="preserve">Shirley Liu’s Computational biology course</w:t>
        </w:r>
      </w:hyperlink>
    </w:p>
    <w:p>
      <w:pPr>
        <w:numPr>
          <w:ilvl w:val="0"/>
          <w:numId w:val="1140"/>
        </w:numPr>
        <w:pStyle w:val="Compact"/>
      </w:pPr>
      <w:hyperlink r:id="rId662">
        <w:r>
          <w:rPr>
            <w:rStyle w:val="Hyperlink"/>
          </w:rPr>
          <w:t xml:space="preserve">Galaxy ChIP-seq tutorial</w:t>
        </w:r>
      </w:hyperlink>
    </w:p>
    <w:p>
      <w:pPr>
        <w:numPr>
          <w:ilvl w:val="0"/>
          <w:numId w:val="1140"/>
        </w:numPr>
        <w:pStyle w:val="Compact"/>
      </w:pPr>
      <w:hyperlink r:id="rId663">
        <w:r>
          <w:rPr>
            <w:rStyle w:val="Hyperlink"/>
          </w:rPr>
          <w:t xml:space="preserve">ENCODE ChiP-seq tutorial</w:t>
        </w:r>
      </w:hyperlink>
    </w:p>
    <w:p>
      <w:pPr>
        <w:numPr>
          <w:ilvl w:val="0"/>
          <w:numId w:val="1140"/>
        </w:numPr>
        <w:pStyle w:val="Compact"/>
      </w:pPr>
      <w:hyperlink r:id="rId664">
        <w:r>
          <w:rPr>
            <w:rStyle w:val="Hyperlink"/>
          </w:rPr>
          <w:t xml:space="preserve">Crazyhottommy’s ChIp-seq tutorial</w:t>
        </w:r>
      </w:hyperlink>
    </w:p>
    <w:p>
      <w:pPr>
        <w:numPr>
          <w:ilvl w:val="0"/>
          <w:numId w:val="1140"/>
        </w:numPr>
        <w:pStyle w:val="Compact"/>
      </w:pPr>
      <w:hyperlink r:id="rId665">
        <w:r>
          <w:rPr>
            <w:rStyle w:val="Hyperlink"/>
          </w:rPr>
          <w:t xml:space="preserve">Harvard CUT&amp;RUN tutorial</w:t>
        </w:r>
      </w:hyperlink>
    </w:p>
    <w:p>
      <w:pPr>
        <w:numPr>
          <w:ilvl w:val="0"/>
          <w:numId w:val="1140"/>
        </w:numPr>
        <w:pStyle w:val="Compact"/>
      </w:pPr>
      <w:hyperlink r:id="rId666">
        <w:r>
          <w:rPr>
            <w:rStyle w:val="Hyperlink"/>
          </w:rPr>
          <w:t xml:space="preserve">4DN CUT&amp;RUN tutorial</w:t>
        </w:r>
      </w:hyperlink>
    </w:p>
    <w:p>
      <w:pPr>
        <w:numPr>
          <w:ilvl w:val="0"/>
          <w:numId w:val="1140"/>
        </w:numPr>
        <w:pStyle w:val="Compact"/>
      </w:pPr>
      <w:hyperlink r:id="rId667">
        <w:r>
          <w:rPr>
            <w:rStyle w:val="Hyperlink"/>
          </w:rPr>
          <w:t xml:space="preserve">Henikoff Lab CUT&amp;Tag tutorial</w:t>
        </w:r>
      </w:hyperlink>
    </w:p>
    <w:p>
      <w:pPr>
        <w:numPr>
          <w:ilvl w:val="0"/>
          <w:numId w:val="114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4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68"/>
    <w:bookmarkEnd w:id="669"/>
    <w:bookmarkStart w:id="699"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71"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1"/>
    <w:bookmarkStart w:id="674"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bookmarkEnd w:id="674"/>
    <w:bookmarkStart w:id="680" w:name="methylation-data-considerations"/>
    <w:p>
      <w:pPr>
        <w:pStyle w:val="Heading2"/>
      </w:pPr>
      <w:r>
        <w:rPr>
          <w:rStyle w:val="SectionNumber"/>
        </w:rPr>
        <w:t xml:space="preserve">19.3</w:t>
      </w:r>
      <w:r>
        <w:tab/>
      </w:r>
      <w:r>
        <w:t xml:space="preserve">Methylation data considerations</w:t>
      </w:r>
    </w:p>
    <w:bookmarkStart w:id="676"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676"/>
    <w:bookmarkStart w:id="679"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bookmarkEnd w:id="679"/>
    <w:bookmarkEnd w:id="680"/>
    <w:bookmarkStart w:id="682"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682"/>
    <w:bookmarkStart w:id="694"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684" w:name="quality-control"/>
    <w:p>
      <w:pPr>
        <w:pStyle w:val="Heading3"/>
      </w:pPr>
      <w:r>
        <w:rPr>
          <w:rStyle w:val="SectionNumber"/>
        </w:rPr>
        <w:t xml:space="preserve">19.5.1</w:t>
      </w:r>
      <w:r>
        <w:tab/>
      </w:r>
      <w:r>
        <w:t xml:space="preserve">Quality control:</w:t>
      </w:r>
    </w:p>
    <w:p>
      <w:pPr>
        <w:numPr>
          <w:ilvl w:val="0"/>
          <w:numId w:val="1141"/>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4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42"/>
        </w:numPr>
        <w:pStyle w:val="Compact"/>
      </w:pPr>
      <w:r>
        <w:rPr>
          <w:bCs/>
          <w:b/>
        </w:rPr>
        <w:t xml:space="preserve">Cons</w:t>
      </w:r>
      <w:r>
        <w:t xml:space="preserve">: Does not perform any trimming or filtering of low-quality reads Not specifically designed for bisulfite sequencing data</w:t>
      </w:r>
    </w:p>
    <w:p>
      <w:pPr>
        <w:numPr>
          <w:ilvl w:val="0"/>
          <w:numId w:val="1141"/>
        </w:numPr>
        <w:pStyle w:val="Compact"/>
      </w:pPr>
      <w:hyperlink r:id="rId68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4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43"/>
        </w:numPr>
        <w:pStyle w:val="Compact"/>
      </w:pPr>
      <w:r>
        <w:rPr>
          <w:bCs/>
          <w:b/>
        </w:rPr>
        <w:t xml:space="preserve">Cons</w:t>
      </w:r>
      <w:r>
        <w:t xml:space="preserve">: Limited flexibility in terms of the trimming and filtering options. Does not provide quality control metrics or plots</w:t>
      </w:r>
    </w:p>
    <w:bookmarkEnd w:id="684"/>
    <w:bookmarkStart w:id="687" w:name="analysis"/>
    <w:p>
      <w:pPr>
        <w:pStyle w:val="Heading3"/>
      </w:pPr>
      <w:r>
        <w:rPr>
          <w:rStyle w:val="SectionNumber"/>
        </w:rPr>
        <w:t xml:space="preserve">19.5.2</w:t>
      </w:r>
      <w:r>
        <w:tab/>
      </w:r>
      <w:r>
        <w:t xml:space="preserve">Analysis:</w:t>
      </w:r>
    </w:p>
    <w:p>
      <w:pPr>
        <w:numPr>
          <w:ilvl w:val="0"/>
          <w:numId w:val="1144"/>
        </w:numPr>
        <w:pStyle w:val="Compact"/>
      </w:pPr>
      <w:hyperlink r:id="rId68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45"/>
        </w:numPr>
        <w:pStyle w:val="Compact"/>
      </w:pPr>
      <w:r>
        <w:rPr>
          <w:bCs/>
          <w:b/>
        </w:rPr>
        <w:t xml:space="preserve">Cons</w:t>
      </w:r>
      <w:r>
        <w:t xml:space="preserve">:Can be computationally intensive for large datasets. Requires a pre-built bisulfite-converted reference genome</w:t>
      </w:r>
    </w:p>
    <w:p>
      <w:pPr>
        <w:numPr>
          <w:ilvl w:val="0"/>
          <w:numId w:val="1144"/>
        </w:numPr>
        <w:pStyle w:val="Compact"/>
      </w:pPr>
      <w:hyperlink r:id="rId68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4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46"/>
        </w:numPr>
        <w:pStyle w:val="Compact"/>
      </w:pPr>
      <w:r>
        <w:rPr>
          <w:bCs/>
          <w:b/>
        </w:rPr>
        <w:t xml:space="preserve">Cons</w:t>
      </w:r>
      <w:r>
        <w:t xml:space="preserve">: Does not perform methylation calling or quantification</w:t>
      </w:r>
    </w:p>
    <w:bookmarkEnd w:id="687"/>
    <w:bookmarkStart w:id="689" w:name="methylation-calling"/>
    <w:p>
      <w:pPr>
        <w:pStyle w:val="Heading3"/>
      </w:pPr>
      <w:r>
        <w:rPr>
          <w:rStyle w:val="SectionNumber"/>
        </w:rPr>
        <w:t xml:space="preserve">19.5.3</w:t>
      </w:r>
      <w:r>
        <w:tab/>
      </w:r>
      <w:r>
        <w:t xml:space="preserve">Methylation calling:</w:t>
      </w:r>
    </w:p>
    <w:p>
      <w:pPr>
        <w:numPr>
          <w:ilvl w:val="0"/>
          <w:numId w:val="1147"/>
        </w:numPr>
        <w:pStyle w:val="Compact"/>
      </w:pPr>
      <w:hyperlink r:id="rId68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48"/>
        </w:numPr>
        <w:pStyle w:val="Compact"/>
      </w:pPr>
      <w:r>
        <w:rPr>
          <w:bCs/>
          <w:b/>
        </w:rPr>
        <w:t xml:space="preserve">Cons</w:t>
      </w:r>
      <w:r>
        <w:t xml:space="preserve">:Can be computationally intensive for large datasets. Requires a pre-built bisulfite-converted reference genome</w:t>
      </w:r>
    </w:p>
    <w:p>
      <w:pPr>
        <w:numPr>
          <w:ilvl w:val="0"/>
          <w:numId w:val="1147"/>
        </w:numPr>
        <w:pStyle w:val="Compact"/>
      </w:pPr>
      <w:hyperlink r:id="rId68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4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49"/>
        </w:numPr>
        <w:pStyle w:val="Compact"/>
      </w:pPr>
      <w:r>
        <w:rPr>
          <w:bCs/>
          <w:b/>
        </w:rPr>
        <w:t xml:space="preserve">Cons</w:t>
      </w:r>
      <w:r>
        <w:t xml:space="preserve">:Does not perform alignment or methylation quantification</w:t>
      </w:r>
    </w:p>
    <w:bookmarkEnd w:id="689"/>
    <w:bookmarkStart w:id="691" w:name="methylation-quantification"/>
    <w:p>
      <w:pPr>
        <w:pStyle w:val="Heading3"/>
      </w:pPr>
      <w:r>
        <w:rPr>
          <w:rStyle w:val="SectionNumber"/>
        </w:rPr>
        <w:t xml:space="preserve">19.5.4</w:t>
      </w:r>
      <w:r>
        <w:tab/>
      </w:r>
      <w:r>
        <w:t xml:space="preserve">Methylation quantification:</w:t>
      </w:r>
    </w:p>
    <w:p>
      <w:pPr>
        <w:numPr>
          <w:ilvl w:val="0"/>
          <w:numId w:val="1150"/>
        </w:numPr>
        <w:pStyle w:val="Compact"/>
      </w:pPr>
      <w:hyperlink r:id="rId69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5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51"/>
        </w:numPr>
        <w:pStyle w:val="Compact"/>
      </w:pPr>
      <w:r>
        <w:rPr>
          <w:bCs/>
          <w:b/>
        </w:rPr>
        <w:t xml:space="preserve">Cons</w:t>
      </w:r>
      <w:r>
        <w:t xml:space="preserve">: Can be computationally intensive for large datasets. Requires some knowledge of R programming language to use effectively</w:t>
      </w:r>
    </w:p>
    <w:p>
      <w:pPr>
        <w:numPr>
          <w:ilvl w:val="0"/>
          <w:numId w:val="1150"/>
        </w:numPr>
        <w:pStyle w:val="Compact"/>
      </w:pPr>
      <w:hyperlink r:id="rId68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691"/>
    <w:bookmarkStart w:id="693" w:name="analysis-1"/>
    <w:p>
      <w:pPr>
        <w:pStyle w:val="Heading3"/>
      </w:pPr>
      <w:r>
        <w:rPr>
          <w:rStyle w:val="SectionNumber"/>
        </w:rPr>
        <w:t xml:space="preserve">19.5.5</w:t>
      </w:r>
      <w:r>
        <w:tab/>
      </w:r>
      <w:r>
        <w:t xml:space="preserve">Analysis:</w:t>
      </w:r>
    </w:p>
    <w:p>
      <w:pPr>
        <w:numPr>
          <w:ilvl w:val="0"/>
          <w:numId w:val="1152"/>
        </w:numPr>
        <w:pStyle w:val="Compact"/>
      </w:pPr>
      <w:hyperlink r:id="rId69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5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5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52"/>
        </w:numPr>
        <w:pStyle w:val="Compact"/>
      </w:pPr>
      <w:hyperlink r:id="rId69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693"/>
    <w:bookmarkEnd w:id="694"/>
    <w:bookmarkStart w:id="698" w:name="more-resources-2"/>
    <w:p>
      <w:pPr>
        <w:pStyle w:val="Heading2"/>
      </w:pPr>
      <w:r>
        <w:rPr>
          <w:rStyle w:val="SectionNumber"/>
        </w:rPr>
        <w:t xml:space="preserve">19.6</w:t>
      </w:r>
      <w:r>
        <w:tab/>
      </w:r>
      <w:r>
        <w:t xml:space="preserve">More resources</w:t>
      </w:r>
    </w:p>
    <w:p>
      <w:pPr>
        <w:numPr>
          <w:ilvl w:val="0"/>
          <w:numId w:val="1154"/>
        </w:numPr>
        <w:pStyle w:val="Compact"/>
      </w:pPr>
      <w:hyperlink r:id="rId695">
        <w:r>
          <w:rPr>
            <w:rStyle w:val="Hyperlink"/>
          </w:rPr>
          <w:t xml:space="preserve">DNA methylation analysis with Galaxy tutorial</w:t>
        </w:r>
      </w:hyperlink>
    </w:p>
    <w:p>
      <w:pPr>
        <w:numPr>
          <w:ilvl w:val="0"/>
          <w:numId w:val="1154"/>
        </w:numPr>
        <w:pStyle w:val="Compact"/>
      </w:pPr>
      <w:hyperlink r:id="rId696">
        <w:r>
          <w:rPr>
            <w:rStyle w:val="Hyperlink"/>
          </w:rPr>
          <w:t xml:space="preserve">The mint pipeline</w:t>
        </w:r>
      </w:hyperlink>
      <w:r>
        <w:t xml:space="preserve"> </w:t>
      </w:r>
      <w:r>
        <w:t xml:space="preserve">for analyzing methylation and hydroxymethylation data.</w:t>
      </w:r>
    </w:p>
    <w:p>
      <w:pPr>
        <w:numPr>
          <w:ilvl w:val="0"/>
          <w:numId w:val="1154"/>
        </w:numPr>
        <w:pStyle w:val="Compact"/>
      </w:pPr>
      <w:hyperlink r:id="rId697">
        <w:r>
          <w:rPr>
            <w:rStyle w:val="Hyperlink"/>
          </w:rPr>
          <w:t xml:space="preserve">Book chapter about finding methylation regions of interest</w:t>
        </w:r>
      </w:hyperlink>
    </w:p>
    <w:bookmarkEnd w:id="698"/>
    <w:bookmarkEnd w:id="699"/>
    <w:bookmarkStart w:id="733"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55"/>
        </w:numPr>
        <w:pStyle w:val="Compact"/>
      </w:pPr>
      <w:hyperlink w:anchor="archs4">
        <w:r>
          <w:rPr>
            <w:rStyle w:val="Hyperlink"/>
          </w:rPr>
          <w:t xml:space="preserve">ARCHS4</w:t>
        </w:r>
      </w:hyperlink>
    </w:p>
    <w:p>
      <w:pPr>
        <w:numPr>
          <w:ilvl w:val="0"/>
          <w:numId w:val="1155"/>
        </w:numPr>
        <w:pStyle w:val="Compact"/>
      </w:pPr>
      <w:hyperlink w:anchor="bioconductor">
        <w:r>
          <w:rPr>
            <w:rStyle w:val="Hyperlink"/>
          </w:rPr>
          <w:t xml:space="preserve">Bioconductor</w:t>
        </w:r>
      </w:hyperlink>
    </w:p>
    <w:p>
      <w:pPr>
        <w:numPr>
          <w:ilvl w:val="1"/>
          <w:numId w:val="1156"/>
        </w:numPr>
        <w:pStyle w:val="Compact"/>
      </w:pPr>
      <w:hyperlink w:anchor="notable-bioconductor-genomics-tools-">
        <w:r>
          <w:rPr>
            <w:rStyle w:val="Hyperlink"/>
          </w:rPr>
          <w:t xml:space="preserve">Notable Bioconductor genomics tools:</w:t>
        </w:r>
      </w:hyperlink>
    </w:p>
    <w:p>
      <w:pPr>
        <w:numPr>
          <w:ilvl w:val="0"/>
          <w:numId w:val="1155"/>
        </w:numPr>
        <w:pStyle w:val="Compact"/>
      </w:pPr>
      <w:hyperlink w:anchor="cancer-models">
        <w:r>
          <w:rPr>
            <w:rStyle w:val="Hyperlink"/>
          </w:rPr>
          <w:t xml:space="preserve">Cancer Models</w:t>
        </w:r>
      </w:hyperlink>
    </w:p>
    <w:p>
      <w:pPr>
        <w:numPr>
          <w:ilvl w:val="0"/>
          <w:numId w:val="1155"/>
        </w:numPr>
        <w:pStyle w:val="Compact"/>
      </w:pPr>
      <w:hyperlink w:anchor="civic">
        <w:r>
          <w:rPr>
            <w:rStyle w:val="Hyperlink"/>
          </w:rPr>
          <w:t xml:space="preserve">CIViC</w:t>
        </w:r>
      </w:hyperlink>
    </w:p>
    <w:p>
      <w:pPr>
        <w:numPr>
          <w:ilvl w:val="0"/>
          <w:numId w:val="1155"/>
        </w:numPr>
        <w:pStyle w:val="Compact"/>
      </w:pPr>
      <w:hyperlink w:anchor="ctat">
        <w:r>
          <w:rPr>
            <w:rStyle w:val="Hyperlink"/>
          </w:rPr>
          <w:t xml:space="preserve">CTAT</w:t>
        </w:r>
      </w:hyperlink>
    </w:p>
    <w:p>
      <w:pPr>
        <w:numPr>
          <w:ilvl w:val="0"/>
          <w:numId w:val="1155"/>
        </w:numPr>
        <w:pStyle w:val="Compact"/>
      </w:pPr>
      <w:hyperlink w:anchor="deepphe">
        <w:r>
          <w:rPr>
            <w:rStyle w:val="Hyperlink"/>
          </w:rPr>
          <w:t xml:space="preserve">DeepPhe</w:t>
        </w:r>
      </w:hyperlink>
    </w:p>
    <w:p>
      <w:pPr>
        <w:numPr>
          <w:ilvl w:val="0"/>
          <w:numId w:val="1155"/>
        </w:numPr>
        <w:pStyle w:val="Compact"/>
      </w:pPr>
      <w:hyperlink w:anchor="genetic-cancer-risk-detector--garde-">
        <w:r>
          <w:rPr>
            <w:rStyle w:val="Hyperlink"/>
          </w:rPr>
          <w:t xml:space="preserve">Genetic Cancer Risk Detector (GARDE)</w:t>
        </w:r>
      </w:hyperlink>
    </w:p>
    <w:p>
      <w:pPr>
        <w:numPr>
          <w:ilvl w:val="0"/>
          <w:numId w:val="1155"/>
        </w:numPr>
        <w:pStyle w:val="Compact"/>
      </w:pPr>
      <w:hyperlink w:anchor="genepattern">
        <w:r>
          <w:rPr>
            <w:rStyle w:val="Hyperlink"/>
          </w:rPr>
          <w:t xml:space="preserve">GenePattern</w:t>
        </w:r>
      </w:hyperlink>
    </w:p>
    <w:p>
      <w:pPr>
        <w:numPr>
          <w:ilvl w:val="0"/>
          <w:numId w:val="1155"/>
        </w:numPr>
        <w:pStyle w:val="Compact"/>
      </w:pPr>
      <w:hyperlink w:anchor="gene-set-enrichment-analysis--gsea-">
        <w:r>
          <w:rPr>
            <w:rStyle w:val="Hyperlink"/>
          </w:rPr>
          <w:t xml:space="preserve">Gene Set Enrichment Analysis (GSEA)</w:t>
        </w:r>
      </w:hyperlink>
    </w:p>
    <w:p>
      <w:pPr>
        <w:numPr>
          <w:ilvl w:val="0"/>
          <w:numId w:val="1155"/>
        </w:numPr>
        <w:pStyle w:val="Compact"/>
      </w:pPr>
      <w:hyperlink w:anchor="integrative-genomics-viewer--igv-">
        <w:r>
          <w:rPr>
            <w:rStyle w:val="Hyperlink"/>
          </w:rPr>
          <w:t xml:space="preserve">Integrative Genomics Viewer (IGV)</w:t>
        </w:r>
      </w:hyperlink>
    </w:p>
    <w:p>
      <w:pPr>
        <w:numPr>
          <w:ilvl w:val="0"/>
          <w:numId w:val="1155"/>
        </w:numPr>
        <w:pStyle w:val="Compact"/>
      </w:pPr>
      <w:hyperlink w:anchor="ndex">
        <w:r>
          <w:rPr>
            <w:rStyle w:val="Hyperlink"/>
          </w:rPr>
          <w:t xml:space="preserve">NDEx</w:t>
        </w:r>
      </w:hyperlink>
    </w:p>
    <w:p>
      <w:pPr>
        <w:numPr>
          <w:ilvl w:val="0"/>
          <w:numId w:val="1155"/>
        </w:numPr>
        <w:pStyle w:val="Compact"/>
      </w:pPr>
      <w:hyperlink w:anchor="multiassayexperiment">
        <w:r>
          <w:rPr>
            <w:rStyle w:val="Hyperlink"/>
          </w:rPr>
          <w:t xml:space="preserve">MultiAssayExperiment</w:t>
        </w:r>
      </w:hyperlink>
    </w:p>
    <w:p>
      <w:pPr>
        <w:numPr>
          <w:ilvl w:val="0"/>
          <w:numId w:val="1155"/>
        </w:numPr>
        <w:pStyle w:val="Compact"/>
      </w:pPr>
      <w:hyperlink w:anchor="opencravat">
        <w:r>
          <w:rPr>
            <w:rStyle w:val="Hyperlink"/>
          </w:rPr>
          <w:t xml:space="preserve">OpenCRAVAT</w:t>
        </w:r>
      </w:hyperlink>
    </w:p>
    <w:p>
      <w:pPr>
        <w:numPr>
          <w:ilvl w:val="0"/>
          <w:numId w:val="1155"/>
        </w:numPr>
        <w:pStyle w:val="Compact"/>
      </w:pPr>
      <w:hyperlink w:anchor="pvactools">
        <w:r>
          <w:rPr>
            <w:rStyle w:val="Hyperlink"/>
          </w:rPr>
          <w:t xml:space="preserve">pVACtools</w:t>
        </w:r>
      </w:hyperlink>
    </w:p>
    <w:p>
      <w:pPr>
        <w:numPr>
          <w:ilvl w:val="0"/>
          <w:numId w:val="1155"/>
        </w:numPr>
        <w:pStyle w:val="Compact"/>
      </w:pPr>
      <w:hyperlink w:anchor="tumordecon">
        <w:r>
          <w:rPr>
            <w:rStyle w:val="Hyperlink"/>
          </w:rPr>
          <w:t xml:space="preserve">TumorDecon</w:t>
        </w:r>
      </w:hyperlink>
    </w:p>
    <w:p>
      <w:pPr>
        <w:numPr>
          <w:ilvl w:val="0"/>
          <w:numId w:val="1155"/>
        </w:numPr>
        <w:pStyle w:val="Compact"/>
      </w:pPr>
      <w:hyperlink w:anchor="webmev">
        <w:r>
          <w:rPr>
            <w:rStyle w:val="Hyperlink"/>
          </w:rPr>
          <w:t xml:space="preserve">WebMeV</w:t>
        </w:r>
      </w:hyperlink>
    </w:p>
    <w:p>
      <w:pPr>
        <w:numPr>
          <w:ilvl w:val="0"/>
          <w:numId w:val="1155"/>
        </w:numPr>
        <w:pStyle w:val="Compact"/>
      </w:pPr>
      <w:hyperlink w:anchor="xena">
        <w:r>
          <w:rPr>
            <w:rStyle w:val="Hyperlink"/>
          </w:rPr>
          <w:t xml:space="preserve">Xena</w:t>
        </w:r>
      </w:hyperlink>
    </w:p>
    <w:bookmarkStart w:id="700"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00"/>
    <w:bookmarkStart w:id="707"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06" w:name="notable-bioconductor-genomics-tools"/>
    <w:p>
      <w:pPr>
        <w:pStyle w:val="Heading3"/>
      </w:pPr>
      <w:r>
        <w:rPr>
          <w:rStyle w:val="SectionNumber"/>
        </w:rPr>
        <w:t xml:space="preserve">20.2.1</w:t>
      </w:r>
      <w:r>
        <w:tab/>
      </w:r>
      <w:r>
        <w:t xml:space="preserve">Notable Bioconductor genomics tools:</w:t>
      </w:r>
    </w:p>
    <w:p>
      <w:pPr>
        <w:numPr>
          <w:ilvl w:val="0"/>
          <w:numId w:val="1157"/>
        </w:numPr>
      </w:pPr>
      <w:hyperlink r:id="rId266">
        <w:r>
          <w:rPr>
            <w:rStyle w:val="Hyperlink"/>
          </w:rPr>
          <w:t xml:space="preserve">annotatr</w:t>
        </w:r>
      </w:hyperlink>
    </w:p>
    <w:p>
      <w:pPr>
        <w:numPr>
          <w:ilvl w:val="0"/>
          <w:numId w:val="1157"/>
        </w:numPr>
      </w:pPr>
      <w:hyperlink r:id="rId267">
        <w:r>
          <w:rPr>
            <w:rStyle w:val="Hyperlink"/>
          </w:rPr>
          <w:t xml:space="preserve">ensembldb</w:t>
        </w:r>
      </w:hyperlink>
    </w:p>
    <w:p>
      <w:pPr>
        <w:numPr>
          <w:ilvl w:val="0"/>
          <w:numId w:val="1157"/>
        </w:numPr>
      </w:pPr>
      <w:hyperlink r:id="rId268">
        <w:r>
          <w:rPr>
            <w:rStyle w:val="Hyperlink"/>
          </w:rPr>
          <w:t xml:space="preserve">GenomicRanges</w:t>
        </w:r>
      </w:hyperlink>
      <w:r>
        <w:t xml:space="preserve"> </w:t>
      </w:r>
      <w:r>
        <w:t xml:space="preserve">- useful for manipulating and identifying sequences.</w:t>
      </w:r>
    </w:p>
    <w:p>
      <w:pPr>
        <w:numPr>
          <w:ilvl w:val="0"/>
          <w:numId w:val="1157"/>
        </w:numPr>
      </w:pPr>
      <w:hyperlink r:id="rId269">
        <w:r>
          <w:rPr>
            <w:rStyle w:val="Hyperlink"/>
          </w:rPr>
          <w:t xml:space="preserve">GO.db</w:t>
        </w:r>
      </w:hyperlink>
      <w:r>
        <w:t xml:space="preserve"> </w:t>
      </w:r>
      <w:r>
        <w:t xml:space="preserve">- Gene ontology annotation</w:t>
      </w:r>
    </w:p>
    <w:p>
      <w:pPr>
        <w:numPr>
          <w:ilvl w:val="0"/>
          <w:numId w:val="1157"/>
        </w:numPr>
      </w:pPr>
      <w:hyperlink r:id="rId270">
        <w:r>
          <w:rPr>
            <w:rStyle w:val="Hyperlink"/>
          </w:rPr>
          <w:t xml:space="preserve">org.Hs.eg.db</w:t>
        </w:r>
      </w:hyperlink>
    </w:p>
    <w:p>
      <w:pPr>
        <w:numPr>
          <w:ilvl w:val="0"/>
          <w:numId w:val="1157"/>
        </w:numPr>
      </w:pPr>
      <w:hyperlink r:id="rId271">
        <w:r>
          <w:rPr>
            <w:rStyle w:val="Hyperlink"/>
          </w:rPr>
          <w:t xml:space="preserve">RSamtools</w:t>
        </w:r>
      </w:hyperlink>
    </w:p>
    <w:p>
      <w:pPr>
        <w:numPr>
          <w:ilvl w:val="0"/>
          <w:numId w:val="1157"/>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57"/>
        </w:numPr>
      </w:pPr>
      <w:hyperlink r:id="rId396">
        <w:r>
          <w:rPr>
            <w:rStyle w:val="Hyperlink"/>
          </w:rPr>
          <w:t xml:space="preserve">ComplexHeatmap</w:t>
        </w:r>
      </w:hyperlink>
    </w:p>
    <w:p>
      <w:pPr>
        <w:numPr>
          <w:ilvl w:val="0"/>
          <w:numId w:val="1157"/>
        </w:numPr>
      </w:pPr>
      <w:hyperlink r:id="rId701">
        <w:r>
          <w:rPr>
            <w:rStyle w:val="Hyperlink"/>
          </w:rPr>
          <w:t xml:space="preserve">MultiAssayExperiment</w:t>
        </w:r>
      </w:hyperlink>
    </w:p>
    <w:p>
      <w:pPr>
        <w:numPr>
          <w:ilvl w:val="0"/>
          <w:numId w:val="1157"/>
        </w:numPr>
      </w:pPr>
      <w:hyperlink r:id="rId702">
        <w:r>
          <w:rPr>
            <w:rStyle w:val="Hyperlink"/>
          </w:rPr>
          <w:t xml:space="preserve">limma</w:t>
        </w:r>
      </w:hyperlink>
    </w:p>
    <w:p>
      <w:pPr>
        <w:numPr>
          <w:ilvl w:val="0"/>
          <w:numId w:val="1157"/>
        </w:numPr>
      </w:pPr>
      <w:hyperlink r:id="rId397">
        <w:r>
          <w:rPr>
            <w:rStyle w:val="Hyperlink"/>
          </w:rPr>
          <w:t xml:space="preserve">DESEq2</w:t>
        </w:r>
      </w:hyperlink>
    </w:p>
    <w:p>
      <w:pPr>
        <w:numPr>
          <w:ilvl w:val="0"/>
          <w:numId w:val="1157"/>
        </w:numPr>
      </w:pPr>
      <w:hyperlink r:id="rId398">
        <w:r>
          <w:rPr>
            <w:rStyle w:val="Hyperlink"/>
          </w:rPr>
          <w:t xml:space="preserve">edgeR</w:t>
        </w:r>
      </w:hyperlink>
    </w:p>
    <w:p>
      <w:pPr>
        <w:numPr>
          <w:ilvl w:val="0"/>
          <w:numId w:val="1157"/>
        </w:numPr>
      </w:pPr>
      <w:hyperlink r:id="rId703">
        <w:r>
          <w:rPr>
            <w:rStyle w:val="Hyperlink"/>
          </w:rPr>
          <w:t xml:space="preserve">curatedTCGAData</w:t>
        </w:r>
      </w:hyperlink>
    </w:p>
    <w:p>
      <w:pPr>
        <w:numPr>
          <w:ilvl w:val="0"/>
          <w:numId w:val="1157"/>
        </w:numPr>
      </w:pPr>
      <w:hyperlink r:id="rId704">
        <w:r>
          <w:rPr>
            <w:rStyle w:val="Hyperlink"/>
          </w:rPr>
          <w:t xml:space="preserve">cBioPortalData</w:t>
        </w:r>
      </w:hyperlink>
    </w:p>
    <w:p>
      <w:pPr>
        <w:numPr>
          <w:ilvl w:val="0"/>
          <w:numId w:val="1157"/>
        </w:numPr>
      </w:pPr>
      <w:hyperlink r:id="rId705">
        <w:r>
          <w:rPr>
            <w:rStyle w:val="Hyperlink"/>
          </w:rPr>
          <w:t xml:space="preserve">SingleCellMultiModal</w:t>
        </w:r>
      </w:hyperlink>
    </w:p>
    <w:bookmarkEnd w:id="706"/>
    <w:bookmarkEnd w:id="707"/>
    <w:bookmarkStart w:id="708"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08"/>
    <w:bookmarkStart w:id="710" w:name="civic"/>
    <w:p>
      <w:pPr>
        <w:pStyle w:val="Heading2"/>
      </w:pPr>
      <w:r>
        <w:rPr>
          <w:rStyle w:val="SectionNumber"/>
        </w:rPr>
        <w:t xml:space="preserve">20.4</w:t>
      </w:r>
      <w:r>
        <w:tab/>
      </w:r>
      <w:r>
        <w:t xml:space="preserve">CIViC</w:t>
      </w:r>
    </w:p>
    <w:p>
      <w:pPr>
        <w:pStyle w:val="FirstParagraph"/>
      </w:pPr>
      <w:hyperlink r:id="rId70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10"/>
    <w:bookmarkStart w:id="711"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11"/>
    <w:bookmarkStart w:id="713" w:name="deepphe"/>
    <w:p>
      <w:pPr>
        <w:pStyle w:val="Heading2"/>
      </w:pPr>
      <w:r>
        <w:rPr>
          <w:rStyle w:val="SectionNumber"/>
        </w:rPr>
        <w:t xml:space="preserve">20.6</w:t>
      </w:r>
      <w:r>
        <w:tab/>
      </w:r>
      <w:r>
        <w:t xml:space="preserve">DeepPhe</w:t>
      </w:r>
    </w:p>
    <w:p>
      <w:pPr>
        <w:pStyle w:val="FirstParagraph"/>
      </w:pPr>
      <w:hyperlink r:id="rId71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58"/>
        </w:numPr>
        <w:pStyle w:val="Compact"/>
      </w:pPr>
      <w:r>
        <w:t xml:space="preserve">multiple natural language processing (NLP) techniques based on cTAKES,1</w:t>
      </w:r>
      <w:r>
        <w:br/>
      </w:r>
    </w:p>
    <w:p>
      <w:pPr>
        <w:numPr>
          <w:ilvl w:val="0"/>
          <w:numId w:val="1158"/>
        </w:numPr>
        <w:pStyle w:val="Compact"/>
      </w:pPr>
      <w:r>
        <w:t xml:space="preserve">a structured cancer information model including concepts from the NCIT and the HemOnc ontology</w:t>
      </w:r>
    </w:p>
    <w:p>
      <w:pPr>
        <w:numPr>
          <w:ilvl w:val="0"/>
          <w:numId w:val="1158"/>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58"/>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58"/>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12">
        <w:r>
          <w:rPr>
            <w:rStyle w:val="Hyperlink"/>
          </w:rPr>
          <w:t xml:space="preserve">DeepPhe website</w:t>
        </w:r>
      </w:hyperlink>
      <w:r>
        <w:t xml:space="preserve"> </w:t>
      </w:r>
      <w:r>
        <w:t xml:space="preserve">under an open-source license for non-commercial use.</w:t>
      </w:r>
    </w:p>
    <w:bookmarkEnd w:id="713"/>
    <w:bookmarkStart w:id="715" w:name="genetic-cancer-risk-detector-garde"/>
    <w:p>
      <w:pPr>
        <w:pStyle w:val="Heading2"/>
      </w:pPr>
      <w:r>
        <w:rPr>
          <w:rStyle w:val="SectionNumber"/>
        </w:rPr>
        <w:t xml:space="preserve">20.7</w:t>
      </w:r>
      <w:r>
        <w:tab/>
      </w:r>
      <w:r>
        <w:t xml:space="preserve">Genetic Cancer Risk Detector (GARDE)</w:t>
      </w:r>
    </w:p>
    <w:p>
      <w:pPr>
        <w:pStyle w:val="FirstParagraph"/>
      </w:pPr>
      <w:hyperlink r:id="rId71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15"/>
    <w:bookmarkStart w:id="716"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16"/>
    <w:bookmarkStart w:id="717"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17"/>
    <w:bookmarkStart w:id="720"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1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1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20"/>
    <w:bookmarkStart w:id="721"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21"/>
    <w:bookmarkStart w:id="722" w:name="multiassayexperiment"/>
    <w:p>
      <w:pPr>
        <w:pStyle w:val="Heading2"/>
      </w:pPr>
      <w:r>
        <w:rPr>
          <w:rStyle w:val="SectionNumber"/>
        </w:rPr>
        <w:t xml:space="preserve">20.12</w:t>
      </w:r>
      <w:r>
        <w:tab/>
      </w:r>
      <w:r>
        <w:t xml:space="preserve">MultiAssayExperiment</w:t>
      </w:r>
    </w:p>
    <w:p>
      <w:pPr>
        <w:pStyle w:val="FirstParagraph"/>
      </w:pPr>
      <w:hyperlink r:id="rId70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03">
        <w:r>
          <w:rPr>
            <w:rStyle w:val="Hyperlink"/>
          </w:rPr>
          <w:t xml:space="preserve">curatedTCGAData</w:t>
        </w:r>
      </w:hyperlink>
      <w:r>
        <w:t xml:space="preserve">,</w:t>
      </w:r>
      <w:r>
        <w:t xml:space="preserve"> </w:t>
      </w:r>
      <w:hyperlink r:id="rId704">
        <w:r>
          <w:rPr>
            <w:rStyle w:val="Hyperlink"/>
          </w:rPr>
          <w:t xml:space="preserve">cBioPortalData</w:t>
        </w:r>
      </w:hyperlink>
      <w:r>
        <w:t xml:space="preserve">, or</w:t>
      </w:r>
      <w:r>
        <w:t xml:space="preserve"> </w:t>
      </w:r>
      <w:hyperlink r:id="rId705">
        <w:r>
          <w:rPr>
            <w:rStyle w:val="Hyperlink"/>
          </w:rPr>
          <w:t xml:space="preserve">SingleCellMultiModal</w:t>
        </w:r>
      </w:hyperlink>
      <w:r>
        <w:t xml:space="preserve">.</w:t>
      </w:r>
    </w:p>
    <w:bookmarkEnd w:id="722"/>
    <w:bookmarkStart w:id="724"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23">
        <w:r>
          <w:rPr>
            <w:rStyle w:val="Hyperlink"/>
          </w:rPr>
          <w:t xml:space="preserve">https://run.opencravat.org/webapps/variantreport/index.html?chrom=chr11&amp;pos=48123823&amp;ref_base=A&amp;alt_base=C</w:t>
        </w:r>
      </w:hyperlink>
      <w:r>
        <w:t xml:space="preserve"> </w:t>
      </w:r>
      <w:r>
        <w:t xml:space="preserve">)</w:t>
      </w:r>
    </w:p>
    <w:bookmarkEnd w:id="724"/>
    <w:bookmarkStart w:id="725"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25"/>
    <w:bookmarkStart w:id="727"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26">
        <w:r>
          <w:rPr>
            <w:rStyle w:val="Hyperlink"/>
          </w:rPr>
          <w:t xml:space="preserve">https://doi.org/10.1016/j.softx.2022.101072</w:t>
        </w:r>
      </w:hyperlink>
      <w:r>
        <w:t xml:space="preserve">.</w:t>
      </w:r>
    </w:p>
    <w:bookmarkEnd w:id="727"/>
    <w:bookmarkStart w:id="728"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28"/>
    <w:bookmarkStart w:id="732"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31" w:name="X2903c352b7590b5af316fcaa0f564817eec5c92"/>
    <w:p>
      <w:pPr>
        <w:pStyle w:val="Heading3"/>
      </w:pPr>
      <w:r>
        <w:rPr>
          <w:rStyle w:val="SectionNumber"/>
        </w:rPr>
        <w:t xml:space="preserve">20.17.1</w:t>
      </w:r>
      <w:r>
        <w:tab/>
      </w:r>
      <w:r>
        <w:t xml:space="preserve">Questions Xena can help you answer include:</w:t>
      </w:r>
    </w:p>
    <w:p>
      <w:pPr>
        <w:numPr>
          <w:ilvl w:val="0"/>
          <w:numId w:val="1159"/>
        </w:numPr>
        <w:pStyle w:val="Compact"/>
      </w:pPr>
      <w:r>
        <w:t xml:space="preserve">Is overexpression of this gene associated with better survival?</w:t>
      </w:r>
    </w:p>
    <w:p>
      <w:pPr>
        <w:numPr>
          <w:ilvl w:val="0"/>
          <w:numId w:val="1159"/>
        </w:numPr>
        <w:pStyle w:val="Compact"/>
      </w:pPr>
      <w:r>
        <w:t xml:space="preserve">What genes are differentially expressed between these two groups of samples?</w:t>
      </w:r>
    </w:p>
    <w:p>
      <w:pPr>
        <w:numPr>
          <w:ilvl w:val="0"/>
          <w:numId w:val="1159"/>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29">
        <w:r>
          <w:rPr>
            <w:rStyle w:val="Hyperlink"/>
          </w:rPr>
          <w:t xml:space="preserve">https://ucsc-xena.gitbook.io/project/tutorials</w:t>
        </w:r>
      </w:hyperlink>
      <w:r>
        <w:t xml:space="preserve">. If you use us please cite us:</w:t>
      </w:r>
      <w:r>
        <w:t xml:space="preserve"> </w:t>
      </w:r>
      <w:hyperlink r:id="rId730">
        <w:r>
          <w:rPr>
            <w:rStyle w:val="Hyperlink"/>
          </w:rPr>
          <w:t xml:space="preserve">https://www.nature.com/articles/s41587-020-0546-8</w:t>
        </w:r>
      </w:hyperlink>
    </w:p>
    <w:bookmarkEnd w:id="731"/>
    <w:bookmarkEnd w:id="732"/>
    <w:bookmarkEnd w:id="733"/>
    <w:bookmarkStart w:id="747" w:name="about-the-authors"/>
    <w:p>
      <w:pPr>
        <w:pStyle w:val="Heading1"/>
      </w:pPr>
      <w:r>
        <w:t xml:space="preserve">About the Authors</w:t>
      </w:r>
    </w:p>
    <w:p>
      <w:pPr>
        <w:pStyle w:val="FirstParagraph"/>
      </w:pPr>
      <w:r>
        <w:t xml:space="preserve">These credits are based on our</w:t>
      </w:r>
      <w:r>
        <w:t xml:space="preserve"> </w:t>
      </w:r>
      <w:hyperlink r:id="rId73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35">
              <w:r>
                <w:rPr>
                  <w:rStyle w:val="Hyperlink"/>
                </w:rPr>
                <w:t xml:space="preserve">Candace Savonen</w:t>
              </w:r>
            </w:hyperlink>
          </w:p>
        </w:tc>
      </w:tr>
      <w:tr>
        <w:tc>
          <w:tcPr/>
          <w:p>
            <w:pPr>
              <w:pStyle w:val="Compact"/>
              <w:jc w:val="left"/>
            </w:pPr>
            <w:r>
              <w:t xml:space="preserve">Lecturer(s)</w:t>
            </w:r>
          </w:p>
        </w:tc>
        <w:tc>
          <w:tcPr/>
          <w:p>
            <w:pPr>
              <w:pStyle w:val="Compact"/>
              <w:jc w:val="left"/>
            </w:pPr>
            <w:hyperlink r:id="rId73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36">
              <w:r>
                <w:rPr>
                  <w:rStyle w:val="Hyperlink"/>
                </w:rPr>
                <w:t xml:space="preserve">Cailin Jordan</w:t>
              </w:r>
            </w:hyperlink>
            <w:r>
              <w:t xml:space="preserve"> </w:t>
            </w:r>
            <w:r>
              <w:t xml:space="preserve">- sc-ATAC-Seq,</w:t>
            </w:r>
            <w:r>
              <w:t xml:space="preserve"> </w:t>
            </w:r>
            <w:hyperlink r:id="rId737">
              <w:r>
                <w:rPr>
                  <w:rStyle w:val="Hyperlink"/>
                </w:rPr>
                <w:t xml:space="preserve">Carrie Wright</w:t>
              </w:r>
            </w:hyperlink>
            <w:r>
              <w:t xml:space="preserve">,</w:t>
            </w:r>
            <w:r>
              <w:t xml:space="preserve"> </w:t>
            </w:r>
            <w:hyperlink r:id="rId738">
              <w:r>
                <w:rPr>
                  <w:rStyle w:val="Hyperlink"/>
                </w:rPr>
                <w:t xml:space="preserve">Claire Mills</w:t>
              </w:r>
            </w:hyperlink>
            <w:r>
              <w:t xml:space="preserve"> </w:t>
            </w:r>
            <w:r>
              <w:t xml:space="preserve">- Whole Genome Sequencing,</w:t>
            </w:r>
            <w:r>
              <w:t xml:space="preserve"> </w:t>
            </w:r>
            <w:hyperlink r:id="rId739">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40">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37">
              <w:r>
                <w:rPr>
                  <w:rStyle w:val="Hyperlink"/>
                </w:rPr>
                <w:t xml:space="preserve">Carrie Wright</w:t>
              </w:r>
            </w:hyperlink>
            <w:r>
              <w:t xml:space="preserve">,</w:t>
            </w:r>
            <w:r>
              <w:t xml:space="preserve"> </w:t>
            </w:r>
            <w:hyperlink r:id="rId741">
              <w:r>
                <w:rPr>
                  <w:rStyle w:val="Hyperlink"/>
                </w:rPr>
                <w:t xml:space="preserve">Cliff Meyer</w:t>
              </w:r>
            </w:hyperlink>
            <w:r>
              <w:t xml:space="preserve"> </w:t>
            </w:r>
            <w:r>
              <w:t xml:space="preserve">- ATAC-seq,</w:t>
            </w:r>
            <w:r>
              <w:t xml:space="preserve"> </w:t>
            </w:r>
            <w:hyperlink r:id="rId742">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4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4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35">
              <w:r>
                <w:rPr>
                  <w:rStyle w:val="Hyperlink"/>
                </w:rPr>
                <w:t xml:space="preserve">Candace Savonen</w:t>
              </w:r>
            </w:hyperlink>
            <w:r>
              <w:t xml:space="preserve">,</w:t>
            </w:r>
            <w:r>
              <w:t xml:space="preserve"> </w:t>
            </w:r>
            <w:hyperlink r:id="rId73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37">
              <w:r>
                <w:rPr>
                  <w:rStyle w:val="Hyperlink"/>
                </w:rPr>
                <w:t xml:space="preserve">Carrie Wright</w:t>
              </w:r>
            </w:hyperlink>
            <w:r>
              <w:t xml:space="preserve">,</w:t>
            </w:r>
            <w:r>
              <w:t xml:space="preserve"> </w:t>
            </w:r>
            <w:hyperlink r:id="rId735">
              <w:r>
                <w:rPr>
                  <w:rStyle w:val="Hyperlink"/>
                </w:rPr>
                <w:t xml:space="preserve">Candace Savonen</w:t>
              </w:r>
            </w:hyperlink>
          </w:p>
        </w:tc>
      </w:tr>
      <w:tr>
        <w:tc>
          <w:tcPr/>
          <w:p>
            <w:pPr>
              <w:pStyle w:val="Compact"/>
              <w:jc w:val="left"/>
            </w:pPr>
            <w:r>
              <w:t xml:space="preserve">Package Developers (</w:t>
            </w:r>
            <w:hyperlink r:id="rId744">
              <w:r>
                <w:rPr>
                  <w:rStyle w:val="Hyperlink"/>
                </w:rPr>
                <w:t xml:space="preserve">ottrpal</w:t>
              </w:r>
            </w:hyperlink>
            <w:r>
              <w:t xml:space="preserve">)</w:t>
            </w:r>
            <w:hyperlink r:id="rId735">
              <w:r>
                <w:rPr>
                  <w:rStyle w:val="Hyperlink"/>
                </w:rPr>
                <w:t xml:space="preserve">Candace Savonen</w:t>
              </w:r>
            </w:hyperlink>
            <w:r>
              <w:t xml:space="preserve">,</w:t>
            </w:r>
            <w:r>
              <w:t xml:space="preserve"> </w:t>
            </w:r>
            <w:hyperlink r:id="rId745">
              <w:r>
                <w:rPr>
                  <w:rStyle w:val="Hyperlink"/>
                </w:rPr>
                <w:t xml:space="preserve">John Muschelli</w:t>
              </w:r>
            </w:hyperlink>
            <w:r>
              <w:t xml:space="preserve">,</w:t>
            </w:r>
            <w:r>
              <w:t xml:space="preserve"> </w:t>
            </w:r>
            <w:hyperlink r:id="rId73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3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35">
              <w:r>
                <w:rPr>
                  <w:rStyle w:val="Hyperlink"/>
                </w:rPr>
                <w:t xml:space="preserve">Candace Savonen</w:t>
              </w:r>
            </w:hyperlink>
            <w:r>
              <w:t xml:space="preserve"> </w:t>
            </w:r>
            <w:r>
              <w:t xml:space="preserve">and</w:t>
            </w:r>
            <w:r>
              <w:t xml:space="preserve"> </w:t>
            </w:r>
            <w:hyperlink r:id="rId738">
              <w:r>
                <w:rPr>
                  <w:rStyle w:val="Hyperlink"/>
                </w:rPr>
                <w:t xml:space="preserve">Claire Mills</w:t>
              </w:r>
            </w:hyperlink>
          </w:p>
        </w:tc>
      </w:tr>
      <w:tr>
        <w:tc>
          <w:tcPr/>
          <w:p>
            <w:pPr>
              <w:pStyle w:val="Compact"/>
              <w:jc w:val="left"/>
            </w:pPr>
            <w:r>
              <w:t xml:space="preserve">Videographer</w:t>
            </w:r>
          </w:p>
        </w:tc>
        <w:tc>
          <w:tcPr/>
          <w:p>
            <w:pPr>
              <w:pStyle w:val="Compact"/>
              <w:jc w:val="left"/>
            </w:pPr>
            <w:hyperlink r:id="rId73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3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46">
              <w:r>
                <w:rPr>
                  <w:rStyle w:val="Hyperlink"/>
                </w:rPr>
                <w:t xml:space="preserve">Sandy Ormbrek</w:t>
              </w:r>
            </w:hyperlink>
            <w:r>
              <w:t xml:space="preserve">,</w:t>
            </w:r>
            <w:r>
              <w:t xml:space="preserve"> </w:t>
            </w:r>
            <w:hyperlink r:id="rId746">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47"/>
    <w:bookmarkStart w:id="837" w:name="references"/>
    <w:p>
      <w:pPr>
        <w:pStyle w:val="Heading1"/>
      </w:pPr>
      <w:r>
        <w:t xml:space="preserve">References</w:t>
      </w:r>
    </w:p>
    <w:bookmarkStart w:id="836" w:name="refs"/>
    <w:bookmarkStart w:id="749"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48">
        <w:r>
          <w:rPr>
            <w:rStyle w:val="Hyperlink"/>
          </w:rPr>
          <w:t xml:space="preserve">https://genomebiology.biomedcentral.com/articles/10.1186/gb-2012-13-10-r87</w:t>
        </w:r>
      </w:hyperlink>
      <w:r>
        <w:t xml:space="preserve">.</w:t>
      </w:r>
    </w:p>
    <w:bookmarkEnd w:id="749"/>
    <w:bookmarkStart w:id="751" w:name="ref-AlexsLemonade2022"/>
    <w:p>
      <w:pPr>
        <w:pStyle w:val="Bibliography"/>
      </w:pPr>
      <w:r>
        <w:t xml:space="preserve">“Alex’s Lemonade Training Modules.”</w:t>
      </w:r>
      <w:r>
        <w:t xml:space="preserve"> </w:t>
      </w:r>
      <w:r>
        <w:t xml:space="preserve">2022.</w:t>
      </w:r>
      <w:r>
        <w:t xml:space="preserve"> </w:t>
      </w:r>
      <w:hyperlink r:id="rId750">
        <w:r>
          <w:rPr>
            <w:rStyle w:val="Hyperlink"/>
          </w:rPr>
          <w:t xml:space="preserve">https://github.com/AlexsLemonade/training-modules</w:t>
        </w:r>
      </w:hyperlink>
      <w:r>
        <w:t xml:space="preserve">.</w:t>
      </w:r>
    </w:p>
    <w:bookmarkEnd w:id="751"/>
    <w:bookmarkStart w:id="753" w:name="ref-refinebioexamples2019"/>
    <w:p>
      <w:pPr>
        <w:pStyle w:val="Bibliography"/>
      </w:pPr>
      <w:r>
        <w:t xml:space="preserve">ALSF, CCDL for. 2019.</w:t>
      </w:r>
      <w:r>
        <w:t xml:space="preserve"> </w:t>
      </w:r>
      <w:r>
        <w:t xml:space="preserve">“Introduction to Microarray Data.”</w:t>
      </w:r>
      <w:r>
        <w:t xml:space="preserve"> </w:t>
      </w:r>
      <w:hyperlink r:id="rId752">
        <w:r>
          <w:rPr>
            <w:rStyle w:val="Hyperlink"/>
          </w:rPr>
          <w:t xml:space="preserve">https://alexslemonade.github.io/refinebio-examples/02-microarray/00-intro-to-microarray.html</w:t>
        </w:r>
      </w:hyperlink>
      <w:r>
        <w:t xml:space="preserve">.</w:t>
      </w:r>
    </w:p>
    <w:bookmarkEnd w:id="753"/>
    <w:bookmarkStart w:id="754"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54"/>
    <w:bookmarkStart w:id="75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55">
        <w:r>
          <w:rPr>
            <w:rStyle w:val="Hyperlink"/>
          </w:rPr>
          <w:t xml:space="preserve">https://doi.org/10.1016/j.coisb.2017.07.004</w:t>
        </w:r>
      </w:hyperlink>
      <w:r>
        <w:t xml:space="preserve">.</w:t>
      </w:r>
    </w:p>
    <w:bookmarkEnd w:id="756"/>
    <w:bookmarkStart w:id="757"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57"/>
    <w:bookmarkStart w:id="759"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58">
        <w:r>
          <w:rPr>
            <w:rStyle w:val="Hyperlink"/>
          </w:rPr>
          <w:t xml:space="preserve">https://doi.org/10.1038/nature07517</w:t>
        </w:r>
      </w:hyperlink>
      <w:r>
        <w:t xml:space="preserve">.</w:t>
      </w:r>
    </w:p>
    <w:bookmarkEnd w:id="759"/>
    <w:bookmarkStart w:id="76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760">
        <w:r>
          <w:rPr>
            <w:rStyle w:val="Hyperlink"/>
          </w:rPr>
          <w:t xml:space="preserve">https://doi.org/10.1016/j.csbj.2019.10.004</w:t>
        </w:r>
      </w:hyperlink>
      <w:r>
        <w:t xml:space="preserve">.</w:t>
      </w:r>
    </w:p>
    <w:bookmarkEnd w:id="761"/>
    <w:bookmarkStart w:id="76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762">
        <w:r>
          <w:rPr>
            <w:rStyle w:val="Hyperlink"/>
          </w:rPr>
          <w:t xml:space="preserve">https://doi.org/10.1038/nprot.2013.115</w:t>
        </w:r>
      </w:hyperlink>
      <w:r>
        <w:t xml:space="preserve">.</w:t>
      </w:r>
    </w:p>
    <w:bookmarkEnd w:id="763"/>
    <w:bookmarkStart w:id="76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764">
        <w:r>
          <w:rPr>
            <w:rStyle w:val="Hyperlink"/>
          </w:rPr>
          <w:t xml:space="preserve">https://www.nature.com/articles/nbt.3519</w:t>
        </w:r>
      </w:hyperlink>
      <w:r>
        <w:t xml:space="preserve">.</w:t>
      </w:r>
    </w:p>
    <w:bookmarkEnd w:id="765"/>
    <w:bookmarkStart w:id="76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766">
        <w:r>
          <w:rPr>
            <w:rStyle w:val="Hyperlink"/>
          </w:rPr>
          <w:t xml:space="preserve">https://doi.org/10.1101/2021.02.15.430948</w:t>
        </w:r>
      </w:hyperlink>
      <w:r>
        <w:t xml:space="preserve">.</w:t>
      </w:r>
    </w:p>
    <w:bookmarkEnd w:id="767"/>
    <w:bookmarkStart w:id="76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768">
        <w:r>
          <w:rPr>
            <w:rStyle w:val="Hyperlink"/>
          </w:rPr>
          <w:t xml:space="preserve">https://doi.org/10.1038/nbt.1975</w:t>
        </w:r>
      </w:hyperlink>
      <w:r>
        <w:t xml:space="preserve">.</w:t>
      </w:r>
    </w:p>
    <w:bookmarkEnd w:id="769"/>
    <w:bookmarkStart w:id="77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770">
        <w:r>
          <w:rPr>
            <w:rStyle w:val="Hyperlink"/>
          </w:rPr>
          <w:t xml:space="preserve">https://doi.org/10.1186/s13059-016-0881-8</w:t>
        </w:r>
      </w:hyperlink>
      <w:r>
        <w:t xml:space="preserve">.</w:t>
      </w:r>
    </w:p>
    <w:bookmarkEnd w:id="771"/>
    <w:bookmarkStart w:id="77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772"/>
    <w:bookmarkStart w:id="77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773">
        <w:r>
          <w:rPr>
            <w:rStyle w:val="Hyperlink"/>
          </w:rPr>
          <w:t xml:space="preserve">https://www.sciencedirect.com/science/article/pii/S2211124719312860</w:t>
        </w:r>
      </w:hyperlink>
      <w:r>
        <w:t xml:space="preserve">.</w:t>
      </w:r>
    </w:p>
    <w:bookmarkEnd w:id="774"/>
    <w:bookmarkStart w:id="77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775">
        <w:r>
          <w:rPr>
            <w:rStyle w:val="Hyperlink"/>
          </w:rPr>
          <w:t xml:space="preserve">https://academic.oup.com/bioinformatics/article/29/1/15/272537</w:t>
        </w:r>
      </w:hyperlink>
      <w:r>
        <w:t xml:space="preserve">.</w:t>
      </w:r>
    </w:p>
    <w:bookmarkEnd w:id="776"/>
    <w:bookmarkStart w:id="778"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777">
        <w:r>
          <w:rPr>
            <w:rStyle w:val="Hyperlink"/>
          </w:rPr>
          <w:t xml:space="preserve">https://pubmed.ncbi.nlm.nih.gov/26819470/</w:t>
        </w:r>
      </w:hyperlink>
      <w:r>
        <w:t xml:space="preserve">.</w:t>
      </w:r>
    </w:p>
    <w:bookmarkEnd w:id="778"/>
    <w:bookmarkStart w:id="779"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779"/>
    <w:bookmarkStart w:id="781"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780">
        <w:r>
          <w:rPr>
            <w:rStyle w:val="Hyperlink"/>
          </w:rPr>
          <w:t xml:space="preserve">https://doi.org/10.1093/bib/bbaa083</w:t>
        </w:r>
      </w:hyperlink>
      <w:r>
        <w:t xml:space="preserve">.</w:t>
      </w:r>
    </w:p>
    <w:bookmarkEnd w:id="781"/>
    <w:bookmarkStart w:id="783"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782">
        <w:r>
          <w:rPr>
            <w:rStyle w:val="Hyperlink"/>
          </w:rPr>
          <w:t xml:space="preserve">https://pubmed.ncbi.nlm.nih.gov/20513432/</w:t>
        </w:r>
      </w:hyperlink>
      <w:r>
        <w:t xml:space="preserve">.</w:t>
      </w:r>
    </w:p>
    <w:bookmarkEnd w:id="783"/>
    <w:bookmarkStart w:id="785"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784">
        <w:r>
          <w:rPr>
            <w:rStyle w:val="Hyperlink"/>
          </w:rPr>
          <w:t xml:space="preserve">https://doi.org/10.1038/s41598-019-39108-2</w:t>
        </w:r>
      </w:hyperlink>
      <w:r>
        <w:t xml:space="preserve">.</w:t>
      </w:r>
    </w:p>
    <w:bookmarkEnd w:id="785"/>
    <w:bookmarkStart w:id="786"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786"/>
    <w:bookmarkStart w:id="788"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787">
        <w:r>
          <w:rPr>
            <w:rStyle w:val="Hyperlink"/>
          </w:rPr>
          <w:t xml:space="preserve">https://www.nature.com/articles/nmeth.3317</w:t>
        </w:r>
      </w:hyperlink>
      <w:r>
        <w:t xml:space="preserve">.</w:t>
      </w:r>
    </w:p>
    <w:bookmarkEnd w:id="788"/>
    <w:bookmarkStart w:id="790" w:name="ref-Kochmanski2019"/>
    <w:p>
      <w:pPr>
        <w:pStyle w:val="Bibliography"/>
      </w:pPr>
      <w:r>
        <w:t xml:space="preserve">Kochmanski, Joseph, Candace Savonen, and Alison I. Bernstein. 2019 10.</w:t>
      </w:r>
      <w:r>
        <w:t xml:space="preserve"> </w:t>
      </w:r>
      <w:hyperlink r:id="rId789">
        <w:r>
          <w:rPr>
            <w:rStyle w:val="Hyperlink"/>
          </w:rPr>
          <w:t xml:space="preserve">https://doi.org/10.3389/fgene.2019.00801</w:t>
        </w:r>
      </w:hyperlink>
      <w:r>
        <w:t xml:space="preserve">.</w:t>
      </w:r>
    </w:p>
    <w:bookmarkEnd w:id="790"/>
    <w:bookmarkStart w:id="791"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683">
        <w:r>
          <w:rPr>
            <w:rStyle w:val="Hyperlink"/>
          </w:rPr>
          <w:t xml:space="preserve">https://www.bioinformatics.babraham.ac.uk/projects/trim_galore/</w:t>
        </w:r>
      </w:hyperlink>
      <w:r>
        <w:t xml:space="preserve">.</w:t>
      </w:r>
    </w:p>
    <w:bookmarkEnd w:id="791"/>
    <w:bookmarkStart w:id="793"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792">
        <w:r>
          <w:rPr>
            <w:rStyle w:val="Hyperlink"/>
          </w:rPr>
          <w:t xml:space="preserve">https://www.nature.com/articles/nmeth.1923</w:t>
        </w:r>
      </w:hyperlink>
      <w:r>
        <w:t xml:space="preserve">.</w:t>
      </w:r>
    </w:p>
    <w:bookmarkEnd w:id="793"/>
    <w:bookmarkStart w:id="795"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794">
        <w:r>
          <w:rPr>
            <w:rStyle w:val="Hyperlink"/>
          </w:rPr>
          <w:t xml:space="preserve">https://academic.oup.com/bioinformatics/article/27/11/1571/216956</w:t>
        </w:r>
      </w:hyperlink>
      <w:r>
        <w:t xml:space="preserve">.</w:t>
      </w:r>
    </w:p>
    <w:bookmarkEnd w:id="795"/>
    <w:bookmarkStart w:id="79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796"/>
    <w:bookmarkStart w:id="79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797">
        <w:r>
          <w:rPr>
            <w:rStyle w:val="Hyperlink"/>
          </w:rPr>
          <w:t xml:space="preserve">https://doi.org/10.12659/MSMBR.892101</w:t>
        </w:r>
      </w:hyperlink>
      <w:r>
        <w:t xml:space="preserve">.</w:t>
      </w:r>
    </w:p>
    <w:bookmarkEnd w:id="798"/>
    <w:bookmarkStart w:id="80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799">
        <w:r>
          <w:rPr>
            <w:rStyle w:val="Hyperlink"/>
          </w:rPr>
          <w:t xml:space="preserve">https://pubmed.ncbi.nlm.nih.gov/30954475/</w:t>
        </w:r>
      </w:hyperlink>
      <w:r>
        <w:t xml:space="preserve">.</w:t>
      </w:r>
    </w:p>
    <w:bookmarkEnd w:id="800"/>
    <w:bookmarkStart w:id="80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01">
        <w:r>
          <w:rPr>
            <w:rStyle w:val="Hyperlink"/>
          </w:rPr>
          <w:t xml:space="preserve">https://doi.org/10.1016/j.ygeno.2018.05.004</w:t>
        </w:r>
      </w:hyperlink>
      <w:r>
        <w:t xml:space="preserve">.</w:t>
      </w:r>
    </w:p>
    <w:bookmarkEnd w:id="802"/>
    <w:bookmarkStart w:id="80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03"/>
    <w:bookmarkStart w:id="80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04">
        <w:r>
          <w:rPr>
            <w:rStyle w:val="Hyperlink"/>
          </w:rPr>
          <w:t xml:space="preserve">https://pubmed.ncbi.nlm.nih.gov/28263959/</w:t>
        </w:r>
      </w:hyperlink>
      <w:r>
        <w:t xml:space="preserve">.</w:t>
      </w:r>
    </w:p>
    <w:bookmarkEnd w:id="805"/>
    <w:bookmarkStart w:id="807"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06">
        <w:r>
          <w:rPr>
            <w:rStyle w:val="Hyperlink"/>
          </w:rPr>
          <w:t xml:space="preserve">https://doi.org/10.1038/nmeth.4402</w:t>
        </w:r>
      </w:hyperlink>
      <w:r>
        <w:t xml:space="preserve">.</w:t>
      </w:r>
    </w:p>
    <w:bookmarkEnd w:id="807"/>
    <w:bookmarkStart w:id="808"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08"/>
    <w:bookmarkStart w:id="810"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09">
        <w:r>
          <w:rPr>
            <w:rStyle w:val="Hyperlink"/>
          </w:rPr>
          <w:t xml:space="preserve">https://www.nature.com/articles/nmeth.4401</w:t>
        </w:r>
      </w:hyperlink>
      <w:r>
        <w:t xml:space="preserve">.</w:t>
      </w:r>
    </w:p>
    <w:bookmarkEnd w:id="810"/>
    <w:bookmarkStart w:id="812"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11">
        <w:r>
          <w:rPr>
            <w:rStyle w:val="Hyperlink"/>
          </w:rPr>
          <w:t xml:space="preserve">https://doi.org/10.1038/s41587-019-0068-4</w:t>
        </w:r>
      </w:hyperlink>
      <w:r>
        <w:t xml:space="preserve">.</w:t>
      </w:r>
    </w:p>
    <w:bookmarkEnd w:id="812"/>
    <w:bookmarkStart w:id="814"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13">
        <w:r>
          <w:rPr>
            <w:rStyle w:val="Hyperlink"/>
          </w:rPr>
          <w:t xml:space="preserve">https://doi.org/10.1038/nrg3642</w:t>
        </w:r>
      </w:hyperlink>
      <w:r>
        <w:t xml:space="preserve">.</w:t>
      </w:r>
    </w:p>
    <w:bookmarkEnd w:id="814"/>
    <w:bookmarkStart w:id="815"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15"/>
    <w:bookmarkStart w:id="816"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16"/>
    <w:bookmarkStart w:id="817"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17"/>
    <w:bookmarkStart w:id="819"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18">
        <w:r>
          <w:rPr>
            <w:rStyle w:val="Hyperlink"/>
          </w:rPr>
          <w:t xml:space="preserve">https://doi.org/10.1186/s12864-018-4772-0</w:t>
        </w:r>
      </w:hyperlink>
      <w:r>
        <w:t xml:space="preserve">.</w:t>
      </w:r>
    </w:p>
    <w:bookmarkEnd w:id="819"/>
    <w:bookmarkStart w:id="82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20">
        <w:r>
          <w:rPr>
            <w:rStyle w:val="Hyperlink"/>
          </w:rPr>
          <w:t xml:space="preserve">https://doi.org/10.1016/j.ajog.2006.07.001</w:t>
        </w:r>
      </w:hyperlink>
      <w:r>
        <w:t xml:space="preserve">.</w:t>
      </w:r>
    </w:p>
    <w:bookmarkEnd w:id="821"/>
    <w:bookmarkStart w:id="823"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22">
        <w:r>
          <w:rPr>
            <w:rStyle w:val="Hyperlink"/>
          </w:rPr>
          <w:t xml:space="preserve">https://doi.org/10.1186/s13059-019-1663-x</w:t>
        </w:r>
      </w:hyperlink>
      <w:r>
        <w:t xml:space="preserve">.</w:t>
      </w:r>
    </w:p>
    <w:bookmarkEnd w:id="823"/>
    <w:bookmarkStart w:id="82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24">
        <w:r>
          <w:rPr>
            <w:rStyle w:val="Hyperlink"/>
          </w:rPr>
          <w:t xml:space="preserve">https://pubmed.ncbi.nlm.nih.gov/30954476/</w:t>
        </w:r>
      </w:hyperlink>
      <w:r>
        <w:t xml:space="preserve">.</w:t>
      </w:r>
    </w:p>
    <w:bookmarkEnd w:id="825"/>
    <w:bookmarkStart w:id="82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26">
        <w:r>
          <w:rPr>
            <w:rStyle w:val="Hyperlink"/>
          </w:rPr>
          <w:t xml:space="preserve">https://doi.org/10.1038/nprot.2012.137</w:t>
        </w:r>
      </w:hyperlink>
      <w:r>
        <w:t xml:space="preserve">.</w:t>
      </w:r>
    </w:p>
    <w:bookmarkEnd w:id="827"/>
    <w:bookmarkStart w:id="82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28">
        <w:r>
          <w:rPr>
            <w:rStyle w:val="Hyperlink"/>
          </w:rPr>
          <w:t xml:space="preserve">https://doi.org/10.1186/s13059-015-0694-1</w:t>
        </w:r>
      </w:hyperlink>
      <w:r>
        <w:t xml:space="preserve">.</w:t>
      </w:r>
    </w:p>
    <w:bookmarkEnd w:id="829"/>
    <w:bookmarkStart w:id="831"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30">
        <w:r>
          <w:rPr>
            <w:rStyle w:val="Hyperlink"/>
          </w:rPr>
          <w:t xml:space="preserve">https://genomebiology.biomedcentral.com/articles/10.1186/gb-2008-9-9-r137</w:t>
        </w:r>
      </w:hyperlink>
      <w:r>
        <w:t xml:space="preserve">.</w:t>
      </w:r>
    </w:p>
    <w:bookmarkEnd w:id="831"/>
    <w:bookmarkStart w:id="83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32">
        <w:r>
          <w:rPr>
            <w:rStyle w:val="Hyperlink"/>
          </w:rPr>
          <w:t xml:space="preserve">https://www.nature.com/articles/ncomms14049</w:t>
        </w:r>
      </w:hyperlink>
      <w:r>
        <w:t xml:space="preserve">.</w:t>
      </w:r>
    </w:p>
    <w:bookmarkEnd w:id="833"/>
    <w:bookmarkStart w:id="83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34">
        <w:r>
          <w:rPr>
            <w:rStyle w:val="Hyperlink"/>
          </w:rPr>
          <w:t xml:space="preserve">https://doi.org/10.1186/s13059-016-1044-7</w:t>
        </w:r>
      </w:hyperlink>
      <w:r>
        <w:t xml:space="preserve">.</w:t>
      </w:r>
    </w:p>
    <w:bookmarkEnd w:id="835"/>
    <w:bookmarkEnd w:id="836"/>
    <w:bookmarkEnd w:id="8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670" Target="media/rId670.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2023-07-12T00:10:36Z</dcterms:created>
  <dcterms:modified xsi:type="dcterms:W3CDTF">2023-07-12T00:10:36Z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